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33BC">
      <w:pPr>
        <w:ind w:right="323"/>
        <w:jc w:val="center"/>
        <w:rPr>
          <w:rFonts w:ascii="方正大标宋简体" w:hAnsi="方正大标宋简体" w:eastAsia="方正大标宋简体" w:cs="方正大标宋简体"/>
          <w:color w:val="FF0000"/>
          <w:spacing w:val="23"/>
          <w:w w:val="100"/>
          <w:sz w:val="5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23"/>
          <w:w w:val="100"/>
          <w:sz w:val="52"/>
          <w:lang w:val="en-US"/>
        </w:rPr>
        <w:t>湖南省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23"/>
          <w:w w:val="100"/>
          <w:sz w:val="52"/>
        </w:rPr>
        <w:t>高校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23"/>
          <w:w w:val="100"/>
          <w:sz w:val="52"/>
          <w:lang w:val="en-US"/>
        </w:rPr>
        <w:t>思想政治教育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23"/>
          <w:w w:val="100"/>
          <w:sz w:val="52"/>
        </w:rPr>
        <w:t>研究会</w:t>
      </w:r>
    </w:p>
    <w:p w14:paraId="56CDB7A5">
      <w:pPr>
        <w:ind w:left="79" w:right="323"/>
        <w:jc w:val="center"/>
        <w:rPr>
          <w:rFonts w:ascii="方正大标宋简体" w:hAnsi="方正大标宋简体" w:eastAsia="方正大标宋简体" w:cs="方正大标宋简体"/>
          <w:color w:val="FF0000"/>
          <w:spacing w:val="40"/>
          <w:w w:val="100"/>
          <w:sz w:val="52"/>
          <w:lang w:val="en-US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40"/>
          <w:w w:val="100"/>
          <w:sz w:val="52"/>
          <w:lang w:val="en-US"/>
        </w:rPr>
        <w:t>学生心理健康教育专业委员会</w:t>
      </w:r>
    </w:p>
    <w:p w14:paraId="114639C3">
      <w:pPr>
        <w:spacing w:line="332" w:lineRule="exact"/>
        <w:ind w:left="32" w:right="324"/>
        <w:jc w:val="center"/>
        <w:rPr>
          <w:rFonts w:ascii="仿宋" w:eastAsia="仿宋"/>
          <w:sz w:val="28"/>
          <w:highlight w:val="none"/>
        </w:rPr>
      </w:pPr>
      <w:r>
        <w:rPr>
          <w:rFonts w:hint="eastAsia" w:ascii="仿宋" w:eastAsia="仿宋"/>
          <w:sz w:val="28"/>
          <w:highlight w:val="none"/>
          <w:lang w:val="en-US"/>
        </w:rPr>
        <w:t>湘心</w:t>
      </w:r>
      <w:r>
        <w:rPr>
          <w:rFonts w:hint="eastAsia" w:ascii="仿宋" w:eastAsia="仿宋"/>
          <w:sz w:val="28"/>
          <w:highlight w:val="none"/>
        </w:rPr>
        <w:t>专委会〔</w:t>
      </w:r>
      <w:r>
        <w:rPr>
          <w:rFonts w:ascii="Times New Roman" w:eastAsia="Times New Roman"/>
          <w:sz w:val="28"/>
          <w:highlight w:val="none"/>
        </w:rPr>
        <w:t>202</w:t>
      </w:r>
      <w:r>
        <w:rPr>
          <w:rFonts w:hint="eastAsia" w:ascii="Times New Roman" w:eastAsia="宋体"/>
          <w:sz w:val="28"/>
          <w:highlight w:val="none"/>
          <w:lang w:val="en-US" w:eastAsia="zh-CN"/>
        </w:rPr>
        <w:t>6</w:t>
      </w:r>
      <w:r>
        <w:rPr>
          <w:rFonts w:hint="eastAsia" w:ascii="仿宋" w:eastAsia="仿宋"/>
          <w:sz w:val="28"/>
          <w:highlight w:val="none"/>
        </w:rPr>
        <w:t>〕</w:t>
      </w:r>
      <w:r>
        <w:rPr>
          <w:rFonts w:hint="eastAsia" w:ascii="仿宋" w:eastAsia="仿宋"/>
          <w:sz w:val="28"/>
          <w:highlight w:val="none"/>
          <w:lang w:val="en-US" w:eastAsia="zh-CN"/>
        </w:rPr>
        <w:t>1</w:t>
      </w:r>
      <w:r>
        <w:rPr>
          <w:rFonts w:hint="eastAsia" w:ascii="仿宋" w:eastAsia="仿宋"/>
          <w:sz w:val="28"/>
          <w:highlight w:val="none"/>
        </w:rPr>
        <w:t>号</w:t>
      </w:r>
    </w:p>
    <w:p w14:paraId="5E81C283">
      <w:pPr>
        <w:pStyle w:val="2"/>
        <w:spacing w:before="8"/>
        <w:rPr>
          <w:rFonts w:ascii="仿宋"/>
          <w:sz w:val="9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114300</wp:posOffset>
                </wp:positionV>
                <wp:extent cx="5676265" cy="0"/>
                <wp:effectExtent l="0" t="10795" r="635" b="14605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26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8pt;margin-top:9pt;height:0pt;width:446.9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sydP1gAAAAoBAAAPAAAAAAAAAAEAIAAAACIAAABkcnMvZG93bnJldi54bWxQSwECFAAU&#10;AAAACACHTuJAq6shUfMBAADnAwAADgAAAAAAAAABACAAAAAlAQAAZHJzL2Uyb0RvYy54bWxQSwUG&#10;AAAAAAYABgBZAQAAigUAAAAA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5DD4CA8">
      <w:pPr>
        <w:widowControl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val="zh-CN" w:eastAsia="zh-CN"/>
        </w:rPr>
      </w:pPr>
    </w:p>
    <w:p w14:paraId="7A5C03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6"/>
          <w:kern w:val="0"/>
          <w:sz w:val="36"/>
          <w:szCs w:val="36"/>
          <w:lang w:val="zh-CN" w:eastAsia="zh-CN" w:bidi="zh-CN"/>
        </w:rPr>
      </w:pPr>
      <w:r>
        <w:rPr>
          <w:rFonts w:hint="eastAsia" w:ascii="Times New Roman" w:hAnsi="Times New Roman" w:eastAsia="方正小标宋简体" w:cs="Times New Roman"/>
          <w:bCs/>
          <w:spacing w:val="-6"/>
          <w:kern w:val="0"/>
          <w:sz w:val="36"/>
          <w:szCs w:val="36"/>
          <w:lang w:val="zh-CN" w:eastAsia="zh-CN" w:bidi="zh-CN"/>
        </w:rPr>
        <w:t>关于举办</w:t>
      </w:r>
      <w:r>
        <w:rPr>
          <w:rFonts w:hint="eastAsia" w:ascii="Times New Roman" w:hAnsi="Times New Roman" w:eastAsia="方正小标宋简体" w:cs="Times New Roman"/>
          <w:bCs/>
          <w:spacing w:val="-6"/>
          <w:kern w:val="0"/>
          <w:sz w:val="36"/>
          <w:szCs w:val="36"/>
          <w:lang w:val="en-US" w:eastAsia="zh-CN" w:bidi="zh-CN"/>
        </w:rPr>
        <w:t>2026年</w:t>
      </w:r>
      <w:r>
        <w:rPr>
          <w:rFonts w:hint="eastAsia" w:ascii="Times New Roman" w:hAnsi="Times New Roman" w:eastAsia="方正小标宋简体" w:cs="Times New Roman"/>
          <w:bCs/>
          <w:spacing w:val="-6"/>
          <w:kern w:val="0"/>
          <w:sz w:val="36"/>
          <w:szCs w:val="36"/>
          <w:lang w:val="zh-CN" w:eastAsia="zh-CN" w:bidi="zh-CN"/>
        </w:rPr>
        <w:t>湖南省高校学生成长辅导案例大赛的通知</w:t>
      </w:r>
    </w:p>
    <w:p w14:paraId="6E15D6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263F02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各会员单位：</w:t>
      </w:r>
      <w:bookmarkStart w:id="0" w:name="_GoBack"/>
      <w:bookmarkEnd w:id="0"/>
    </w:p>
    <w:p w14:paraId="14FD7A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为深入贯彻《全面加强新时代高校辅导员队伍建设行动方案》关于推动辅导员队伍专业化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职业化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专家化发展的战略部署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，结合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2026年全国教育工作会议提出的“深入落实立德树人根本任务”“推进健康学校建设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，促进学生身心健康、全面发展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年度攻坚任务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要求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进一步提升高校辅导员工作素养能力，充分发挥高校辅导员在学生成长成才路上的引领作用，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总结工作经验、提炼育人成效。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经研究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决定举办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湖南省高校学生成长辅导案例大赛。现将本次大赛有关事项通知如下：</w:t>
      </w:r>
    </w:p>
    <w:p w14:paraId="71AB91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一、参赛对象</w:t>
      </w:r>
    </w:p>
    <w:p w14:paraId="53444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案例的第一作者应为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高校辅导员，且已申报相关案例评审并获奖的案例不可重复申报。</w:t>
      </w:r>
    </w:p>
    <w:p w14:paraId="63835A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二、评选标准</w:t>
      </w:r>
    </w:p>
    <w:p w14:paraId="498DD7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案例真实。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参评案例是作者本人在近三年的辅导工作中的真实案例，是大学生某类成长发展性问题上具有普遍性和代表性的案例。</w:t>
      </w:r>
    </w:p>
    <w:p w14:paraId="720C98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专业规范。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案例行文流畅、叙述完整、内容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翔实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; 重视对学生及学生面临问题的分析，并针对分析结果进行辅导设计，理论与实践相结合，整合辅导资源，系统实施辅导。</w:t>
      </w:r>
    </w:p>
    <w:p w14:paraId="445947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创新发展。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案例在叙述方式、分析问题、辅导理念、辅导思路、辅导技术运用或工作建议上有创新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，鼓励积极探索人工智能赋能学生成长辅导工作的经验分享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634D637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借鉴推广。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案例根据学生成长问题有针对性地开展辅导工作，案例要有可操作性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，对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问题分析、辅导思路以及辅导方法具有指导和借鉴意义。</w:t>
      </w:r>
    </w:p>
    <w:p w14:paraId="4B2679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边界清晰。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案例应与心理咨询案例有所区分，突出成长辅导是大学生思想政治教育重要手段的定位。</w:t>
      </w:r>
    </w:p>
    <w:p w14:paraId="261EA7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三、选题范围</w:t>
      </w:r>
    </w:p>
    <w:p w14:paraId="6AB746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参赛案例应紧扣高校学生成长过程中的真实情境，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聚焦以下方面：</w:t>
      </w:r>
    </w:p>
    <w:p w14:paraId="3E5E7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思想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引领与价值塑造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引导学生坚定理想信念，培育和践行社会主义核心价值观的辅导案例。</w:t>
      </w:r>
    </w:p>
    <w:p w14:paraId="617A1C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学业指导与能力提升：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针对学生学习动力不足、方法不当、学业困难等问题开展的帮扶与指导。</w:t>
      </w:r>
    </w:p>
    <w:p w14:paraId="708025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心理健康与危机干预：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对罹患心理疾病学生或遭遇重大生活事件学生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开展的心理疏导、情绪调适及心理危机预防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干预案例。</w:t>
      </w:r>
    </w:p>
    <w:p w14:paraId="5B0107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生涯规划与就业指导：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帮助学生明确职业目标、提升就业竞争力、应对就业压力的辅导实践。</w:t>
      </w:r>
    </w:p>
    <w:p w14:paraId="28EC08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人际交往与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适应：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改善学生人际关系、增强社会适应能力、促进集体融入的案例。</w:t>
      </w:r>
    </w:p>
    <w:p w14:paraId="2D3152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6.行为管理与安全教育：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针对学生的日常行为、习惯养成、法制安全、网络行为等方面开展辅导，引导学生行为规范与人格成长双重提升的辅导案例。</w:t>
      </w:r>
    </w:p>
    <w:p w14:paraId="174B4C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7.AI素养与数字赋能：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引导学生提升AI素养、应对数字时代下的认知迷茫、价值认同、人机边界等成长挑战，探索运用数字技术赋能学生成长辅导、提升工作效率与精准度的创新实践。</w:t>
      </w:r>
    </w:p>
    <w:p w14:paraId="0F2218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四、内容要求</w:t>
      </w:r>
    </w:p>
    <w:p w14:paraId="1D3E73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突出文本质量。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案例围绕选题进行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，具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有较强的借鉴意义或应用价值，字数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不超过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4000字，每人以第一作者身份限报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，每篇案例共同作者不超过3人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FA52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内容结构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辅导背景、辅导过程(包括辅导时间与次数，对学生及学生面临问题的分析，辅导技术的运用等)、辅导效果、辅导反思与启示等。</w:t>
      </w:r>
    </w:p>
    <w:p w14:paraId="11B7F2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保密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案例当事人以及其他相关人员用化名，不能涉及学生及学校的相关信息。</w:t>
      </w:r>
    </w:p>
    <w:p w14:paraId="080A97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原创：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参赛案例不得一稿多投，该案例须为未参与过其它赛事活动、未投稿到任何平台的原创作品，且该案例须是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作者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近三年来亲身经历的典型个案，真实可信，不得杜撰和抄袭。</w:t>
      </w:r>
    </w:p>
    <w:p w14:paraId="2BCF2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五、工作要求</w:t>
      </w:r>
    </w:p>
    <w:p w14:paraId="5B77E5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会员单位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要高度重视、精心准备，坚持公开、公平、公正原则、严格按照要求进行案例评选推荐。</w:t>
      </w:r>
    </w:p>
    <w:p w14:paraId="1AE8E9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2.数量:各本科院校案例报送数量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不超过3篇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。各高职高专院校案例报送数量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不超过2篇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68231A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报送方式：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各高校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于5月30日前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将《2026年湖南省高校学生成长辅导案例大赛申报表》（附件1）、《2026年湖南省高校学生成长辅导案例大赛推荐汇总表》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（附件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）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电子版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+主管学生工作部门领导签字盖章后的</w:t>
      </w:r>
      <w:r>
        <w:rPr>
          <w:rFonts w:hint="eastAsia" w:cs="仿宋"/>
          <w:b/>
          <w:bCs/>
          <w:color w:val="auto"/>
          <w:sz w:val="28"/>
          <w:szCs w:val="28"/>
          <w:u w:val="none"/>
          <w:lang w:val="en-US" w:eastAsia="zh-CN"/>
        </w:rPr>
        <w:t>扫描件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一并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发送至邮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箱xgb_xlzx@1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.com。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整体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文件夹命名为：“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学校全称+2026年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成长辅导案例大赛”。以上材料均以学校为单位报送，不接受个人单独申报，逾期报送、超过推荐名额的高校不予受理。</w:t>
      </w:r>
    </w:p>
    <w:p w14:paraId="251192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六、联系方式</w:t>
      </w:r>
    </w:p>
    <w:p w14:paraId="2A32DE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联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系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人：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炊李萌、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文姹紫</w:t>
      </w:r>
    </w:p>
    <w:p w14:paraId="4A5E77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联系电话：0731-888239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55</w:t>
      </w:r>
    </w:p>
    <w:p w14:paraId="28B44E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电子邮箱：xgb_xlzx@1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.com</w:t>
      </w:r>
    </w:p>
    <w:p w14:paraId="1A5D90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地址：湖南大学天马学生公寓二区六栋心理健康教育中心</w:t>
      </w:r>
    </w:p>
    <w:p w14:paraId="4B4B09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445D9E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cs="仿宋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cs="仿宋"/>
          <w:b w:val="0"/>
          <w:bCs w:val="0"/>
          <w:color w:val="auto"/>
          <w:sz w:val="24"/>
          <w:szCs w:val="24"/>
          <w:lang w:val="en-US" w:eastAsia="zh-CN"/>
        </w:rPr>
        <w:t>2026年湖南省高校学生成长辅导案例大赛申报表</w:t>
      </w:r>
    </w:p>
    <w:p w14:paraId="6BA946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lang w:val="en-US" w:eastAsia="zh-CN"/>
        </w:rPr>
        <w:t>附件2：2026年湖南省高校学生成长辅导案例大赛推荐汇总表</w:t>
      </w:r>
    </w:p>
    <w:p w14:paraId="065762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cs="仿宋"/>
          <w:b w:val="0"/>
          <w:bCs w:val="0"/>
          <w:color w:val="auto"/>
          <w:sz w:val="24"/>
          <w:szCs w:val="24"/>
          <w:lang w:val="en-US" w:eastAsia="zh-CN"/>
        </w:rPr>
      </w:pPr>
    </w:p>
    <w:p w14:paraId="339D46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5715</wp:posOffset>
            </wp:positionV>
            <wp:extent cx="1818005" cy="1859915"/>
            <wp:effectExtent l="0" t="0" r="10795" b="6985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439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</w:p>
    <w:p w14:paraId="426D0D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湖南省高校思想政治教育研究会学生心理健康教育专业委员会</w:t>
      </w:r>
    </w:p>
    <w:p w14:paraId="451599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</w:t>
      </w:r>
      <w:r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3月23日</w:t>
      </w:r>
    </w:p>
    <w:p w14:paraId="68B4AE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338CF3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default" w:cs="仿宋"/>
          <w:b w:val="0"/>
          <w:bCs w:val="0"/>
          <w:color w:val="auto"/>
          <w:sz w:val="28"/>
          <w:szCs w:val="28"/>
          <w:lang w:val="en-US" w:eastAsia="zh-CN"/>
        </w:rPr>
        <w:sectPr>
          <w:pgSz w:w="11910" w:h="16850"/>
          <w:pgMar w:top="1429" w:right="1434" w:bottom="1468" w:left="1451" w:header="720" w:footer="720" w:gutter="0"/>
          <w:cols w:space="720" w:num="1"/>
        </w:sectPr>
      </w:pPr>
    </w:p>
    <w:p w14:paraId="0CEEB6A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7EE6D0C0">
      <w:pPr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2026年湖南省高校学生成长辅导案例大赛</w:t>
      </w:r>
    </w:p>
    <w:p w14:paraId="5338CE44">
      <w:pPr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申   报   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967"/>
        <w:gridCol w:w="165"/>
        <w:gridCol w:w="1323"/>
        <w:gridCol w:w="392"/>
        <w:gridCol w:w="956"/>
        <w:gridCol w:w="1417"/>
        <w:gridCol w:w="734"/>
        <w:gridCol w:w="169"/>
        <w:gridCol w:w="1779"/>
      </w:tblGrid>
      <w:tr w14:paraId="794A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454DE9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案例题目</w:t>
            </w:r>
          </w:p>
        </w:tc>
        <w:tc>
          <w:tcPr>
            <w:tcW w:w="3725" w:type="pct"/>
            <w:gridSpan w:val="7"/>
            <w:vAlign w:val="center"/>
          </w:tcPr>
          <w:p w14:paraId="590D9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F9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345ABF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</w:t>
            </w:r>
          </w:p>
        </w:tc>
        <w:tc>
          <w:tcPr>
            <w:tcW w:w="3725" w:type="pct"/>
            <w:gridSpan w:val="7"/>
            <w:vAlign w:val="center"/>
          </w:tcPr>
          <w:p w14:paraId="186807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10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3454A2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选题类别</w:t>
            </w:r>
          </w:p>
        </w:tc>
        <w:tc>
          <w:tcPr>
            <w:tcW w:w="3725" w:type="pct"/>
            <w:gridSpan w:val="7"/>
            <w:vAlign w:val="center"/>
          </w:tcPr>
          <w:p w14:paraId="2DF2E3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6D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46B201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第一作者姓名</w:t>
            </w:r>
          </w:p>
        </w:tc>
        <w:tc>
          <w:tcPr>
            <w:tcW w:w="944" w:type="pct"/>
            <w:gridSpan w:val="2"/>
            <w:vAlign w:val="center"/>
          </w:tcPr>
          <w:p w14:paraId="3600D8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598867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79" w:type="pct"/>
            <w:vAlign w:val="center"/>
          </w:tcPr>
          <w:p w14:paraId="60F323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6AB112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77" w:type="pct"/>
            <w:vAlign w:val="center"/>
          </w:tcPr>
          <w:p w14:paraId="263251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02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42BB07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944" w:type="pct"/>
            <w:gridSpan w:val="2"/>
            <w:vAlign w:val="center"/>
          </w:tcPr>
          <w:p w14:paraId="1C0E6A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pct"/>
            <w:gridSpan w:val="2"/>
            <w:vAlign w:val="center"/>
          </w:tcPr>
          <w:p w14:paraId="701AF8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74" w:type="pct"/>
            <w:gridSpan w:val="3"/>
            <w:vAlign w:val="center"/>
          </w:tcPr>
          <w:p w14:paraId="55C66A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32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51C24B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944" w:type="pct"/>
            <w:gridSpan w:val="2"/>
            <w:vAlign w:val="center"/>
          </w:tcPr>
          <w:p w14:paraId="25D938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pct"/>
            <w:gridSpan w:val="2"/>
            <w:vAlign w:val="center"/>
          </w:tcPr>
          <w:p w14:paraId="19674B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74" w:type="pct"/>
            <w:gridSpan w:val="3"/>
            <w:vAlign w:val="center"/>
          </w:tcPr>
          <w:p w14:paraId="2ACA55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3A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4CFBAF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725" w:type="pct"/>
            <w:gridSpan w:val="7"/>
            <w:vAlign w:val="center"/>
          </w:tcPr>
          <w:p w14:paraId="6E9647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E2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4" w:type="pct"/>
            <w:gridSpan w:val="3"/>
            <w:vAlign w:val="center"/>
          </w:tcPr>
          <w:p w14:paraId="64B212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3725" w:type="pct"/>
            <w:gridSpan w:val="7"/>
            <w:vAlign w:val="center"/>
          </w:tcPr>
          <w:p w14:paraId="1E6A4B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76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000" w:type="pct"/>
            <w:gridSpan w:val="10"/>
            <w:vAlign w:val="center"/>
          </w:tcPr>
          <w:p w14:paraId="0E700B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其他作者信息</w:t>
            </w:r>
          </w:p>
        </w:tc>
      </w:tr>
      <w:tr w14:paraId="58F4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1" w:type="pct"/>
            <w:vAlign w:val="center"/>
          </w:tcPr>
          <w:p w14:paraId="7F3A2A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32" w:type="pct"/>
            <w:vAlign w:val="center"/>
          </w:tcPr>
          <w:p w14:paraId="757478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9" w:type="pct"/>
            <w:gridSpan w:val="2"/>
            <w:vAlign w:val="center"/>
          </w:tcPr>
          <w:p w14:paraId="104376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25" w:type="pct"/>
            <w:gridSpan w:val="4"/>
            <w:vAlign w:val="center"/>
          </w:tcPr>
          <w:p w14:paraId="071A5C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1071" w:type="pct"/>
            <w:gridSpan w:val="2"/>
            <w:vAlign w:val="center"/>
          </w:tcPr>
          <w:p w14:paraId="1961D3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03AF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1" w:type="pct"/>
            <w:vAlign w:val="center"/>
          </w:tcPr>
          <w:p w14:paraId="2885BA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2D46E6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14158B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pct"/>
            <w:gridSpan w:val="4"/>
            <w:vAlign w:val="center"/>
          </w:tcPr>
          <w:p w14:paraId="199B6E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1" w:type="pct"/>
            <w:gridSpan w:val="2"/>
            <w:vAlign w:val="center"/>
          </w:tcPr>
          <w:p w14:paraId="7AD976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C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1" w:type="pct"/>
            <w:vAlign w:val="center"/>
          </w:tcPr>
          <w:p w14:paraId="08CE70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72C0AB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6477F6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pct"/>
            <w:gridSpan w:val="4"/>
            <w:vAlign w:val="center"/>
          </w:tcPr>
          <w:p w14:paraId="6928EA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1" w:type="pct"/>
            <w:gridSpan w:val="2"/>
            <w:vAlign w:val="center"/>
          </w:tcPr>
          <w:p w14:paraId="61ACE3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04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1" w:type="pct"/>
            <w:vAlign w:val="center"/>
          </w:tcPr>
          <w:p w14:paraId="48B92BB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</w:t>
            </w:r>
          </w:p>
          <w:p w14:paraId="02CFD4A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例</w:t>
            </w:r>
          </w:p>
          <w:p w14:paraId="7A1D6F64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</w:t>
            </w:r>
          </w:p>
          <w:p w14:paraId="56474B0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容</w:t>
            </w:r>
          </w:p>
        </w:tc>
        <w:tc>
          <w:tcPr>
            <w:tcW w:w="4348" w:type="pct"/>
            <w:gridSpan w:val="9"/>
          </w:tcPr>
          <w:p w14:paraId="44E000FB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《案例题目》</w:t>
            </w:r>
          </w:p>
          <w:p w14:paraId="081684D8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right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一例学生×××（案例类型）的成长辅导案例报告</w:t>
            </w:r>
          </w:p>
          <w:p w14:paraId="62F30D83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  <w:r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  <w:t xml:space="preserve"> 如，《×××》</w:t>
            </w:r>
          </w:p>
          <w:p w14:paraId="1A164985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right"/>
              <w:rPr>
                <w:rFonts w:hint="default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  <w:t>——一例学生思想引领与价值塑造的成长辅导案例报告</w:t>
            </w:r>
          </w:p>
          <w:p w14:paraId="215A3987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一、案例概要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1D5DA8D7">
            <w:pPr>
              <w:spacing w:line="560" w:lineRule="exac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（500字左右）</w:t>
            </w:r>
          </w:p>
          <w:p w14:paraId="2D230DCF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（一）……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二级标题楷体GB_2312 四号</w:t>
            </w:r>
          </w:p>
          <w:p w14:paraId="34D57F8A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1. ……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三级标题仿宋GB_2312 四号（加粗）</w:t>
            </w:r>
          </w:p>
          <w:p w14:paraId="7D8A9397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XXXX…… 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正文仿宋GB_2312 四号</w:t>
            </w:r>
          </w:p>
          <w:p w14:paraId="484D0C7A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首行缩进2字符</w:t>
            </w:r>
          </w:p>
          <w:p w14:paraId="4EE491A4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段前段后均为0</w:t>
            </w:r>
          </w:p>
          <w:p w14:paraId="31B41AF1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行间距固定值28磅</w:t>
            </w:r>
          </w:p>
          <w:p w14:paraId="657A6BA3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二、案例分析及育人效果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24802F1F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000字左右，文字格式要求同上）</w:t>
            </w:r>
          </w:p>
          <w:p w14:paraId="649C891C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三、拓展思考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6444D0A2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（500字左右，文字格式要求同上）</w:t>
            </w:r>
          </w:p>
          <w:p w14:paraId="2A96D705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85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274" w:type="pct"/>
            <w:gridSpan w:val="3"/>
            <w:vAlign w:val="center"/>
          </w:tcPr>
          <w:p w14:paraId="3708CDC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案例诚信承诺</w:t>
            </w:r>
          </w:p>
        </w:tc>
        <w:tc>
          <w:tcPr>
            <w:tcW w:w="3725" w:type="pct"/>
            <w:gridSpan w:val="7"/>
          </w:tcPr>
          <w:p w14:paraId="5B287B35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CB17A5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本人承诺案例由本人（本课题组）原创，无抄袭。若被发现有学术不端行为，本人（本课题组）愿承担相应责任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 w14:paraId="7556F24D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签 名：</w:t>
            </w:r>
          </w:p>
          <w:p w14:paraId="239A5A40">
            <w:pPr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  <w:tr w14:paraId="50A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exact"/>
          <w:jc w:val="center"/>
        </w:trPr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BE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院系处室意见</w:t>
            </w:r>
          </w:p>
        </w:tc>
        <w:tc>
          <w:tcPr>
            <w:tcW w:w="37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2DAC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盖   章</w:t>
            </w:r>
          </w:p>
          <w:p w14:paraId="38347CF8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0B7D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exact"/>
          <w:jc w:val="center"/>
        </w:trPr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7E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学工部门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37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AA0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盖   章  </w:t>
            </w:r>
          </w:p>
          <w:p w14:paraId="5859E399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 w14:paraId="0107372D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 w14:paraId="0CDC64CF">
      <w:pPr>
        <w:widowControl/>
        <w:spacing w:line="600" w:lineRule="exact"/>
        <w:ind w:right="147"/>
        <w:rPr>
          <w:rFonts w:eastAsia="仿宋_GB2312"/>
          <w:sz w:val="32"/>
          <w:szCs w:val="32"/>
        </w:rPr>
        <w:sectPr>
          <w:footerReference r:id="rId5" w:type="default"/>
          <w:pgSz w:w="11906" w:h="16838"/>
          <w:pgMar w:top="1383" w:right="1519" w:bottom="1383" w:left="1519" w:header="851" w:footer="992" w:gutter="0"/>
          <w:pgNumType w:start="1"/>
          <w:cols w:space="425" w:num="1"/>
          <w:docGrid w:type="lines" w:linePitch="312" w:charSpace="0"/>
        </w:sectPr>
      </w:pPr>
    </w:p>
    <w:p w14:paraId="7E141A29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643C8EBE">
      <w:pPr>
        <w:widowControl/>
        <w:spacing w:line="600" w:lineRule="exact"/>
        <w:ind w:right="14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2026年湖南省高校学生成长辅导案例大赛推荐汇总表</w:t>
      </w:r>
    </w:p>
    <w:p w14:paraId="023CEA37">
      <w:pPr>
        <w:widowControl/>
        <w:spacing w:line="600" w:lineRule="exact"/>
        <w:ind w:right="147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学校全称</w:t>
      </w:r>
      <w:r>
        <w:rPr>
          <w:rFonts w:hint="eastAsia" w:cs="仿宋"/>
          <w:sz w:val="24"/>
          <w:lang w:eastAsia="zh-CN"/>
        </w:rPr>
        <w:t>（</w:t>
      </w:r>
      <w:r>
        <w:rPr>
          <w:rFonts w:hint="eastAsia" w:cs="仿宋"/>
          <w:sz w:val="24"/>
          <w:lang w:val="en-US" w:eastAsia="zh-CN"/>
        </w:rPr>
        <w:t>盖章</w:t>
      </w:r>
      <w:r>
        <w:rPr>
          <w:rFonts w:hint="eastAsia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                    填报人：              联系电话：</w:t>
      </w:r>
      <w:r>
        <w:rPr>
          <w:rFonts w:hint="eastAsia" w:cs="仿宋"/>
          <w:sz w:val="24"/>
          <w:lang w:val="en-US" w:eastAsia="zh-CN"/>
        </w:rPr>
        <w:t xml:space="preserve">             邮箱：</w:t>
      </w:r>
    </w:p>
    <w:tbl>
      <w:tblPr>
        <w:tblStyle w:val="7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19"/>
        <w:gridCol w:w="2733"/>
        <w:gridCol w:w="1572"/>
        <w:gridCol w:w="1964"/>
        <w:gridCol w:w="1722"/>
        <w:gridCol w:w="1495"/>
        <w:gridCol w:w="1814"/>
      </w:tblGrid>
      <w:tr w14:paraId="67F3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" w:type="pct"/>
            <w:vAlign w:val="center"/>
          </w:tcPr>
          <w:p w14:paraId="75F1F5A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782" w:type="pct"/>
            <w:vAlign w:val="center"/>
          </w:tcPr>
          <w:p w14:paraId="5E68FD6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报送学校</w:t>
            </w:r>
          </w:p>
        </w:tc>
        <w:tc>
          <w:tcPr>
            <w:tcW w:w="963" w:type="pct"/>
            <w:vAlign w:val="center"/>
          </w:tcPr>
          <w:p w14:paraId="7CCF2A9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案例题目</w:t>
            </w:r>
          </w:p>
        </w:tc>
        <w:tc>
          <w:tcPr>
            <w:tcW w:w="554" w:type="pct"/>
            <w:vAlign w:val="center"/>
          </w:tcPr>
          <w:p w14:paraId="32A0F31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选题类别</w:t>
            </w:r>
          </w:p>
        </w:tc>
        <w:tc>
          <w:tcPr>
            <w:tcW w:w="692" w:type="pct"/>
            <w:vAlign w:val="center"/>
          </w:tcPr>
          <w:p w14:paraId="6399865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作者姓名</w:t>
            </w:r>
          </w:p>
          <w:p w14:paraId="13C406D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（如多个作者请全部注明）</w:t>
            </w:r>
          </w:p>
        </w:tc>
        <w:tc>
          <w:tcPr>
            <w:tcW w:w="607" w:type="pct"/>
            <w:vAlign w:val="center"/>
          </w:tcPr>
          <w:p w14:paraId="6247E9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7BD3140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所在院系/部门</w:t>
            </w:r>
          </w:p>
        </w:tc>
        <w:tc>
          <w:tcPr>
            <w:tcW w:w="527" w:type="pct"/>
            <w:vAlign w:val="center"/>
          </w:tcPr>
          <w:p w14:paraId="6BB510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1C49361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职务/职称</w:t>
            </w:r>
          </w:p>
        </w:tc>
        <w:tc>
          <w:tcPr>
            <w:tcW w:w="639" w:type="pct"/>
            <w:vAlign w:val="center"/>
          </w:tcPr>
          <w:p w14:paraId="3FABBDE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3AA058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</w:tr>
      <w:tr w14:paraId="5E11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" w:type="pct"/>
            <w:vAlign w:val="center"/>
          </w:tcPr>
          <w:p w14:paraId="77CDC095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2B61FC4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963" w:type="pct"/>
            <w:vAlign w:val="center"/>
          </w:tcPr>
          <w:p w14:paraId="69181C36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54" w:type="pct"/>
            <w:vAlign w:val="center"/>
          </w:tcPr>
          <w:p w14:paraId="5CFF3D7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46E54BF4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vAlign w:val="center"/>
          </w:tcPr>
          <w:p w14:paraId="659FAE0C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39E4FD7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39" w:type="pct"/>
            <w:vAlign w:val="center"/>
          </w:tcPr>
          <w:p w14:paraId="20DCA8C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</w:tr>
      <w:tr w14:paraId="7AB6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" w:type="pct"/>
            <w:vAlign w:val="center"/>
          </w:tcPr>
          <w:p w14:paraId="5F9A212B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36F74EAE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963" w:type="pct"/>
            <w:vAlign w:val="center"/>
          </w:tcPr>
          <w:p w14:paraId="48923DCE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54" w:type="pct"/>
            <w:vAlign w:val="center"/>
          </w:tcPr>
          <w:p w14:paraId="2D59E47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6C9DD6BB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vAlign w:val="center"/>
          </w:tcPr>
          <w:p w14:paraId="7E43C4A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08DC63A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39" w:type="pct"/>
            <w:vAlign w:val="center"/>
          </w:tcPr>
          <w:p w14:paraId="09E70869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</w:tr>
    </w:tbl>
    <w:p w14:paraId="444610C5">
      <w:pPr>
        <w:widowControl/>
        <w:spacing w:line="600" w:lineRule="exact"/>
        <w:ind w:right="147"/>
        <w:rPr>
          <w:rFonts w:hint="eastAsia" w:ascii="仿宋" w:hAnsi="仿宋" w:eastAsia="仿宋" w:cs="仿宋"/>
          <w:sz w:val="32"/>
          <w:szCs w:val="32"/>
        </w:rPr>
      </w:pPr>
    </w:p>
    <w:p w14:paraId="36450A82">
      <w:pPr>
        <w:pStyle w:val="2"/>
        <w:tabs>
          <w:tab w:val="left" w:pos="1384"/>
          <w:tab w:val="left" w:pos="2047"/>
          <w:tab w:val="left" w:pos="2104"/>
        </w:tabs>
        <w:spacing w:line="568" w:lineRule="auto"/>
        <w:ind w:right="1537"/>
        <w:rPr>
          <w:rFonts w:hint="default" w:cs="仿宋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633" w:right="1383" w:bottom="1633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D8FC7-4492-4E55-A0D0-EC34064DFD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F94151-6AB7-4178-8F96-2D3A57240C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8C2477-8700-451E-A23A-FB073B7D6A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655BD6D-6E26-4883-A976-811EC0142BE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A0F86BD-174A-443F-8C06-290800FDDBC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E9FECE0-D835-49F7-B393-673F8FB09F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112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07C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07C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DcxYWE2ZmU2NjhkMzc0ODIyNzg2MWFlMDE0YjgifQ=="/>
  </w:docVars>
  <w:rsids>
    <w:rsidRoot w:val="00000000"/>
    <w:rsid w:val="02232162"/>
    <w:rsid w:val="0A4E37BC"/>
    <w:rsid w:val="0BA61553"/>
    <w:rsid w:val="0ECB1070"/>
    <w:rsid w:val="131A681F"/>
    <w:rsid w:val="136E0A98"/>
    <w:rsid w:val="15AC243E"/>
    <w:rsid w:val="17E13700"/>
    <w:rsid w:val="19421826"/>
    <w:rsid w:val="1DC605B1"/>
    <w:rsid w:val="22E374C3"/>
    <w:rsid w:val="24376272"/>
    <w:rsid w:val="25736DD3"/>
    <w:rsid w:val="26443225"/>
    <w:rsid w:val="26825727"/>
    <w:rsid w:val="29F91E8B"/>
    <w:rsid w:val="2F05640D"/>
    <w:rsid w:val="3E846AEB"/>
    <w:rsid w:val="46473A62"/>
    <w:rsid w:val="4DE50B65"/>
    <w:rsid w:val="4E734546"/>
    <w:rsid w:val="55C54B71"/>
    <w:rsid w:val="59544639"/>
    <w:rsid w:val="5BED79E4"/>
    <w:rsid w:val="60A85314"/>
    <w:rsid w:val="6BB44286"/>
    <w:rsid w:val="71B17A2B"/>
    <w:rsid w:val="74FD2437"/>
    <w:rsid w:val="75373542"/>
    <w:rsid w:val="77E75F0F"/>
    <w:rsid w:val="79701D43"/>
    <w:rsid w:val="7D536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4">
    <w:name w:val="font3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16">
    <w:name w:val="font21"/>
    <w:basedOn w:val="8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2187</Words>
  <Characters>2324</Characters>
  <TotalTime>2</TotalTime>
  <ScaleCrop>false</ScaleCrop>
  <LinksUpToDate>false</LinksUpToDate>
  <CharactersWithSpaces>2629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2022-04-11T00:38:00Z</dcterms:created>
  <dc:creator>walkinnet</dc:creator>
  <cp:lastModifiedBy>妮妮1412750618</cp:lastModifiedBy>
  <dcterms:modified xsi:type="dcterms:W3CDTF">2026-03-24T14:15:21Z</dcterms:modified>
  <dc:title>湘高心研会[2011]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241C18783F364B3FB98F2512FB985C77_13</vt:lpwstr>
  </property>
  <property fmtid="{D5CDD505-2E9C-101B-9397-08002B2CF9AE}" pid="7" name="KSOTemplateDocerSaveRecord">
    <vt:lpwstr>eyJoZGlkIjoiOTY2MmVmNDg1Zjk1MzQ5ZDExMzUxNmE3MzM5NDViNGMiLCJ1c2VySWQiOiIyMjY1NDYxMiJ9</vt:lpwstr>
  </property>
</Properties>
</file>