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4335"/>
        <w:gridCol w:w="3465"/>
        <w:gridCol w:w="1500"/>
        <w:gridCol w:w="285"/>
        <w:gridCol w:w="5210"/>
        <w:gridCol w:w="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noWrap/>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宋体"/>
                <w:b w:val="0"/>
                <w:bCs/>
                <w:kern w:val="0"/>
                <w:sz w:val="24"/>
                <w:lang w:val="en-US" w:eastAsia="zh-CN"/>
              </w:rPr>
            </w:pPr>
            <w:r>
              <w:rPr>
                <w:rFonts w:hint="eastAsia" w:ascii="Times New Roman" w:hAnsi="Times New Roman" w:eastAsia="宋体" w:cs="宋体"/>
                <w:b w:val="0"/>
                <w:bCs/>
                <w:kern w:val="0"/>
                <w:sz w:val="24"/>
                <w:lang w:val="en-US" w:eastAsia="zh-CN"/>
              </w:rPr>
              <w:t>序号</w:t>
            </w:r>
          </w:p>
        </w:tc>
        <w:tc>
          <w:tcPr>
            <w:tcW w:w="1388"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规则</w:t>
            </w:r>
          </w:p>
        </w:tc>
        <w:tc>
          <w:tcPr>
            <w:tcW w:w="1109"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题干</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both"/>
              <w:textAlignment w:val="bottom"/>
              <w:rPr>
                <w:rFonts w:hint="default" w:ascii="Times New Roman" w:hAnsi="Times New Roman" w:eastAsia="宋体" w:cs="宋体"/>
                <w:b w:val="0"/>
                <w:kern w:val="0"/>
                <w:sz w:val="24"/>
                <w:szCs w:val="24"/>
                <w:lang w:val="en-US" w:eastAsia="zh-CN" w:bidi="ar"/>
              </w:rPr>
            </w:pPr>
          </w:p>
        </w:tc>
        <w:tc>
          <w:tcPr>
            <w:tcW w:w="480"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答案</w:t>
            </w:r>
          </w:p>
        </w:tc>
        <w:tc>
          <w:tcPr>
            <w:tcW w:w="1782" w:type="pct"/>
            <w:gridSpan w:val="3"/>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解析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noWrap/>
            <w:vAlign w:val="center"/>
          </w:tcPr>
          <w:p>
            <w:pPr>
              <w:keepNext w:val="0"/>
              <w:keepLines w:val="0"/>
              <w:numPr>
                <w:ilvl w:val="0"/>
                <w:numId w:val="1"/>
              </w:numPr>
              <w:suppressLineNumbers w:val="0"/>
              <w:spacing w:before="0" w:beforeAutospacing="0" w:after="0" w:afterAutospacing="0" w:line="240" w:lineRule="auto"/>
              <w:ind w:left="425" w:leftChars="0" w:right="0" w:rightChars="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根据我国民族区域自治制度，选出下列每组词语中与其他词汇不同性质或者属于不同类别的一个词。</w:t>
            </w:r>
          </w:p>
        </w:tc>
        <w:tc>
          <w:tcPr>
            <w:tcW w:w="1109"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自治县、自治区、自治州、民族乡</w:t>
            </w:r>
          </w:p>
        </w:tc>
        <w:tc>
          <w:tcPr>
            <w:tcW w:w="480"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民族乡</w:t>
            </w:r>
          </w:p>
        </w:tc>
        <w:tc>
          <w:tcPr>
            <w:tcW w:w="1782" w:type="pct"/>
            <w:gridSpan w:val="3"/>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自治州、自治县、自治区均是民族自治地方，民族乡不是。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以社会主义道德的内容为依据，选出下列每组词语中与其他词汇不同性质或者属于不同类别的一个词。</w:t>
            </w:r>
          </w:p>
        </w:tc>
        <w:tc>
          <w:tcPr>
            <w:tcW w:w="1109"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爱祖国、爱家庭、爱社会主义、爱人民</w:t>
            </w:r>
          </w:p>
        </w:tc>
        <w:tc>
          <w:tcPr>
            <w:tcW w:w="480"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爱家庭</w:t>
            </w:r>
          </w:p>
        </w:tc>
        <w:tc>
          <w:tcPr>
            <w:tcW w:w="1782" w:type="pct"/>
            <w:gridSpan w:val="3"/>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除爱家庭外，爱祖国、爱人民和爱社会主义均属于社会主义道德的基本内容和要求。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结合习近平法治思想，选出下列词语中与其他词汇不同性质或属于不同类别的一个词。</w:t>
            </w:r>
          </w:p>
        </w:tc>
        <w:tc>
          <w:tcPr>
            <w:tcW w:w="1109"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执政权、立法权、行政权、司法权</w:t>
            </w:r>
          </w:p>
        </w:tc>
        <w:tc>
          <w:tcPr>
            <w:tcW w:w="480"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执政权</w:t>
            </w:r>
          </w:p>
        </w:tc>
        <w:tc>
          <w:tcPr>
            <w:tcW w:w="1782" w:type="pct"/>
            <w:gridSpan w:val="3"/>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执政权是党行使的权力，其他三项是国家机构行使的权力。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以公民的基本权利为依据，选出下列每组词语中与其他词汇不同性质或者属于不同类别的一个词。</w:t>
            </w:r>
          </w:p>
        </w:tc>
        <w:tc>
          <w:tcPr>
            <w:tcW w:w="1109"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环境权、劳动权、选举权、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受教育权</w:t>
            </w:r>
          </w:p>
        </w:tc>
        <w:tc>
          <w:tcPr>
            <w:tcW w:w="480"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环境权</w:t>
            </w:r>
          </w:p>
        </w:tc>
        <w:tc>
          <w:tcPr>
            <w:tcW w:w="1782" w:type="pct"/>
            <w:gridSpan w:val="3"/>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除环境权外，劳动权、选举权和受教育权均属于宪法明确规定的公民的基本权利。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根据国家管辖制度，选出下列每组词语中与其他词汇不同性质或者属于不同类别的一个词。</w:t>
            </w:r>
          </w:p>
        </w:tc>
        <w:tc>
          <w:tcPr>
            <w:tcW w:w="1109"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领陆、领土、领水、领空</w:t>
            </w:r>
          </w:p>
        </w:tc>
        <w:tc>
          <w:tcPr>
            <w:tcW w:w="480"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领土</w:t>
            </w:r>
          </w:p>
        </w:tc>
        <w:tc>
          <w:tcPr>
            <w:tcW w:w="1782" w:type="pct"/>
            <w:gridSpan w:val="3"/>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国家领土分为领陆、领水和领空。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以宪法规定的公民文化权利为依据，选出下列每组词语中与其他词汇不同性质或者属于不同类别的一个词。</w:t>
            </w:r>
          </w:p>
        </w:tc>
        <w:tc>
          <w:tcPr>
            <w:tcW w:w="1109"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文艺创作自由、出版自由、科学研究自由、出行自由</w:t>
            </w:r>
          </w:p>
        </w:tc>
        <w:tc>
          <w:tcPr>
            <w:tcW w:w="480"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出行自由</w:t>
            </w:r>
          </w:p>
        </w:tc>
        <w:tc>
          <w:tcPr>
            <w:tcW w:w="1782" w:type="pct"/>
            <w:gridSpan w:val="3"/>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除出行自由外，其余3项属于我国宪法所规定的公民的文化权利。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以公民的权利义务为依据，选出下列每组词语中与其他词汇不同性质或者属于不同类别的一个词。</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p>
        </w:tc>
        <w:tc>
          <w:tcPr>
            <w:tcW w:w="1109"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依法纳税、维护国家统一、言论自由、依法服兵役</w:t>
            </w:r>
          </w:p>
        </w:tc>
        <w:tc>
          <w:tcPr>
            <w:tcW w:w="480"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言论自由</w:t>
            </w:r>
          </w:p>
        </w:tc>
        <w:tc>
          <w:tcPr>
            <w:tcW w:w="1782" w:type="pct"/>
            <w:gridSpan w:val="3"/>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除言论自由外，依法纳税、维护国家统一和依法服兵役属于我国宪法规定的公民的义务。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以未成年人享有的权利为依据，选出下列每组词语中与其他词汇不同性质或者属于不同类别的一个词。</w:t>
            </w:r>
          </w:p>
        </w:tc>
        <w:tc>
          <w:tcPr>
            <w:tcW w:w="1109"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受保护权、受教育权、生存权、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选举权</w:t>
            </w:r>
          </w:p>
        </w:tc>
        <w:tc>
          <w:tcPr>
            <w:tcW w:w="480"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选举权</w:t>
            </w:r>
          </w:p>
        </w:tc>
        <w:tc>
          <w:tcPr>
            <w:tcW w:w="1782" w:type="pct"/>
            <w:gridSpan w:val="3"/>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未成年人享有生存权、受教育权和受保护权，没有选举权。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根据宪法有关国徽的规定，选出下列词语中与其他词汇不同性质或属于不同类别的一个词。</w:t>
            </w:r>
          </w:p>
        </w:tc>
        <w:tc>
          <w:tcPr>
            <w:tcW w:w="1109"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人民大会堂、天安门、谷穗、齿轮</w:t>
            </w:r>
          </w:p>
        </w:tc>
        <w:tc>
          <w:tcPr>
            <w:tcW w:w="480" w:type="pct"/>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人民大会堂</w:t>
            </w:r>
          </w:p>
        </w:tc>
        <w:tc>
          <w:tcPr>
            <w:tcW w:w="1782" w:type="pct"/>
            <w:gridSpan w:val="3"/>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国徽上的图案包括天安门、谷穗、齿轮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F1F1F1" w:themeFill="background1" w:themeFillShade="F2"/>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shd w:val="clear" w:color="auto" w:fill="F1F1F1" w:themeFill="background1" w:themeFillShade="F2"/>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依据党史知识，选出下列战役中与其他战役不同性质或属于不同类别的一个。</w:t>
            </w:r>
          </w:p>
        </w:tc>
        <w:tc>
          <w:tcPr>
            <w:tcW w:w="1109" w:type="pct"/>
            <w:shd w:val="clear" w:color="auto" w:fill="F1F1F1" w:themeFill="background1" w:themeFillShade="F2"/>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淞沪会战、淮海战役、平津战役、辽沈战役</w:t>
            </w:r>
          </w:p>
        </w:tc>
        <w:tc>
          <w:tcPr>
            <w:tcW w:w="480" w:type="pct"/>
            <w:shd w:val="clear" w:color="auto" w:fill="F1F1F1" w:themeFill="background1" w:themeFillShade="F2"/>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淞沪会战</w:t>
            </w:r>
          </w:p>
        </w:tc>
        <w:tc>
          <w:tcPr>
            <w:tcW w:w="1782" w:type="pct"/>
            <w:gridSpan w:val="3"/>
            <w:shd w:val="clear" w:color="auto" w:fill="F1F1F1" w:themeFill="background1" w:themeFillShade="F2"/>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其它三个战役合称“三大战役”，是解放战争时共产党消灭国民党军事力量而发动的；淞沪会战是国民党在抵抗日本侵略者时发生的著名战役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F1F1F1" w:themeFill="background1" w:themeFillShade="F2"/>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shd w:val="clear" w:color="auto" w:fill="F1F1F1" w:themeFill="background1" w:themeFillShade="F2"/>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依据阶级属性，选出下列名词中与其他名词不同性质或属于不同类别的一个。</w:t>
            </w:r>
          </w:p>
        </w:tc>
        <w:tc>
          <w:tcPr>
            <w:tcW w:w="1109" w:type="pct"/>
            <w:shd w:val="clear" w:color="auto" w:fill="F1F1F1" w:themeFill="background1" w:themeFillShade="F2"/>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工人、农民、知识分子、地主</w:t>
            </w:r>
          </w:p>
        </w:tc>
        <w:tc>
          <w:tcPr>
            <w:tcW w:w="480" w:type="pct"/>
            <w:shd w:val="clear" w:color="auto" w:fill="F1F1F1" w:themeFill="background1" w:themeFillShade="F2"/>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地主</w:t>
            </w:r>
          </w:p>
        </w:tc>
        <w:tc>
          <w:tcPr>
            <w:tcW w:w="1782" w:type="pct"/>
            <w:gridSpan w:val="3"/>
            <w:shd w:val="clear" w:color="auto" w:fill="F1F1F1" w:themeFill="background1" w:themeFillShade="F2"/>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工人、农民、知识分子是建设中国特色社会主义事业的根本力量；而地主是占有土地，靠剥削农民为生的人或阶级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D8D8D8" w:themeFill="background1" w:themeFillShade="D9"/>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default" w:ascii="Times New Roman" w:hAnsi="Times New Roman" w:eastAsia="宋体" w:cs="宋体"/>
                <w:b w:val="0"/>
                <w:color w:val="000000" w:themeColor="text1"/>
                <w:kern w:val="0"/>
                <w:sz w:val="24"/>
                <w14:textFill>
                  <w14:solidFill>
                    <w14:schemeClr w14:val="tx1"/>
                  </w14:solidFill>
                </w14:textFill>
              </w:rPr>
            </w:pP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以民法典为依据，结合物权编相关内容，选出下列每组词语中与其他词汇不同性质或属于不同类别的一个词。</w:t>
            </w: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汽车、桌子、房子、手表</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房子</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只有房子是不动产，其他都是动产</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D8D8D8" w:themeFill="background1" w:themeFillShade="D9"/>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eastAsia" w:ascii="Times New Roman" w:hAnsi="Times New Roman" w:eastAsia="宋体" w:cs="宋体"/>
                <w:b w:val="0"/>
                <w:color w:val="000000"/>
                <w:kern w:val="0"/>
                <w:sz w:val="24"/>
                <w:lang w:bidi="ar"/>
              </w:rPr>
            </w:pP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以民法典为依据，结合民法的基本原则，选出下列每组词语中与其他词汇不同性质或属于不同类别的一个词。</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诚实信用原则、自愿原则、平等原则、罪刑法定原则</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罪刑法定原则</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只有罪刑法定原则属于刑法原则，其他属于民法典规定的原则</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D8D8D8" w:themeFill="background1" w:themeFillShade="D9"/>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eastAsia" w:ascii="Times New Roman" w:hAnsi="Times New Roman" w:eastAsia="宋体" w:cs="宋体"/>
                <w:b w:val="0"/>
                <w:color w:val="000000"/>
                <w:kern w:val="0"/>
                <w:sz w:val="24"/>
                <w:lang w:bidi="ar"/>
              </w:rPr>
            </w:pP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以民法典的物权编为依据，选出下列每组词语中与其他词汇不同性质或属于不同类别的一个词。</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土地承包经营权、建设用地使用权、留置权、宅基地使用权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留置权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留置权属于担保物权，其余属于用益物权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D8D8D8" w:themeFill="background1" w:themeFillShade="D9"/>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eastAsia" w:ascii="Times New Roman" w:hAnsi="Times New Roman" w:eastAsia="宋体" w:cs="宋体"/>
                <w:b w:val="0"/>
                <w:color w:val="000000"/>
                <w:kern w:val="0"/>
                <w:sz w:val="24"/>
                <w:lang w:bidi="ar"/>
              </w:rPr>
            </w:pP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以民法典关于民事行为效力的规定为依据，选出下列每组词语中与其他词汇不同性质或属于不同类别的一个词。</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重大误解、违背公序良俗、显失公平、欺诈、胁迫。</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违背公序良俗</w:t>
            </w: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违背公序良俗的民事法律行为无效。其他的重大误解以及显失公平、欺诈、胁迫均属于可撤销事由。</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D8D8D8" w:themeFill="background1" w:themeFillShade="D9"/>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eastAsia" w:ascii="Times New Roman" w:hAnsi="Times New Roman" w:eastAsia="宋体" w:cs="宋体"/>
                <w:b w:val="0"/>
                <w:color w:val="000000"/>
                <w:kern w:val="0"/>
                <w:sz w:val="24"/>
                <w:lang w:bidi="ar"/>
              </w:rPr>
            </w:pP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以民法典关于自物权和他物权的区分为依据，选出下列每组词语中与其他词汇不同性质或属于不同类别的一个词。</w:t>
            </w: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用益物权、担保物权、所有权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所有权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只有所有权是自物权、用益物权和担保物权都是他物权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D8D8D8" w:themeFill="background1" w:themeFillShade="D9"/>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eastAsia" w:ascii="Times New Roman" w:hAnsi="Times New Roman" w:eastAsia="宋体" w:cs="宋体"/>
                <w:b w:val="0"/>
                <w:color w:val="000000"/>
                <w:kern w:val="0"/>
                <w:sz w:val="24"/>
                <w:lang w:bidi="ar"/>
              </w:rPr>
            </w:pP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以民法典关于民事行为能力的知识为依据，选出下列每组词语中与其他词汇不同性质或属于不同类别的一个词。</w:t>
            </w: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完全民事行为能力、支配权、限制行为能力、无民事行为能力</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支配权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完全民事行为能力、限制行为能力、无民事行为能力都是民事行为能力的类型，而支配权不是</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D8D8D8" w:themeFill="background1" w:themeFillShade="D9"/>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eastAsia" w:ascii="Times New Roman" w:hAnsi="Times New Roman" w:eastAsia="宋体" w:cs="宋体"/>
                <w:b w:val="0"/>
                <w:color w:val="000000"/>
                <w:kern w:val="0"/>
                <w:sz w:val="24"/>
                <w:lang w:bidi="ar"/>
              </w:rPr>
            </w:pP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以民法典为依据，选出下列每组词语中与其他词汇不同性质或属于不同类别的一个词。</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商标权、著作权、专利权、居住权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自然人</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kern w:val="0"/>
                <w:sz w:val="24"/>
                <w:szCs w:val="24"/>
                <w:lang w:val="en-US" w:eastAsia="zh-CN" w:bidi="ar"/>
              </w:rPr>
            </w:pPr>
            <w:r>
              <w:rPr>
                <w:rFonts w:hint="eastAsia" w:ascii="Times New Roman" w:hAnsi="Times New Roman" w:eastAsia="宋体" w:cs="宋体"/>
                <w:b w:val="0"/>
                <w:kern w:val="0"/>
                <w:sz w:val="24"/>
                <w:szCs w:val="24"/>
                <w:lang w:val="en-US" w:eastAsia="zh-CN" w:bidi="ar"/>
              </w:rPr>
              <w:t>商标权、著作权、专利权都可属于知识产权，居住权属于民法典新规定的物权</w:t>
            </w:r>
          </w:p>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F1F1F1" w:themeFill="background1" w:themeFillShade="F2"/>
            <w:noWrap/>
            <w:vAlign w:val="center"/>
          </w:tcPr>
          <w:p>
            <w:pPr>
              <w:keepNext w:val="0"/>
              <w:keepLines w:val="0"/>
              <w:numPr>
                <w:ilvl w:val="0"/>
                <w:numId w:val="1"/>
              </w:numPr>
              <w:suppressLineNumbers w:val="0"/>
              <w:spacing w:before="0" w:beforeLines="0" w:beforeAutospacing="0" w:after="0" w:afterLines="0" w:afterAutospacing="0" w:line="240" w:lineRule="auto"/>
              <w:ind w:left="425" w:leftChars="0" w:right="0" w:hanging="425" w:firstLineChars="0"/>
              <w:jc w:val="center"/>
              <w:rPr>
                <w:rFonts w:hint="eastAsia" w:ascii="Times New Roman" w:hAnsi="Times New Roman" w:eastAsia="宋体" w:cs="宋体"/>
                <w:b w:val="0"/>
                <w:color w:val="000000"/>
                <w:kern w:val="0"/>
                <w:sz w:val="24"/>
                <w:lang w:bidi="ar"/>
              </w:rPr>
            </w:pPr>
          </w:p>
        </w:tc>
        <w:tc>
          <w:tcPr>
            <w:tcW w:w="1388"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宋体"/>
                <w:b w:val="0"/>
                <w:color w:val="000000"/>
                <w:kern w:val="0"/>
                <w:sz w:val="24"/>
                <w:szCs w:val="24"/>
                <w:lang w:val="en-US" w:eastAsia="zh-CN" w:bidi="ar"/>
              </w:rPr>
            </w:pPr>
            <w:r>
              <w:rPr>
                <w:rFonts w:hint="default" w:ascii="Times New Roman" w:hAnsi="Times New Roman" w:eastAsia="宋体"/>
                <w:b w:val="0"/>
                <w:sz w:val="24"/>
                <w:szCs w:val="24"/>
              </w:rPr>
              <w:t>根据《未成年人保护法》的规定，</w:t>
            </w:r>
            <w:r>
              <w:rPr>
                <w:rFonts w:hint="eastAsia" w:ascii="Times New Roman" w:hAnsi="Times New Roman" w:eastAsia="宋体" w:cs="宋体"/>
                <w:b w:val="0"/>
                <w:color w:val="000000"/>
                <w:kern w:val="0"/>
                <w:sz w:val="24"/>
              </w:rPr>
              <w:t>选出下列每组词语中与其他词汇不同性质或属于不同类别的一个词。</w:t>
            </w:r>
          </w:p>
        </w:tc>
        <w:tc>
          <w:tcPr>
            <w:tcW w:w="1109"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right="0"/>
              <w:jc w:val="center"/>
              <w:rPr>
                <w:rFonts w:hint="default" w:ascii="Times New Roman" w:hAnsi="Times New Roman" w:eastAsia="宋体"/>
                <w:b w:val="0"/>
                <w:sz w:val="24"/>
                <w:szCs w:val="24"/>
              </w:rPr>
            </w:pPr>
            <w:r>
              <w:rPr>
                <w:rFonts w:hint="default" w:ascii="Times New Roman" w:hAnsi="Times New Roman" w:eastAsia="宋体"/>
                <w:b w:val="0"/>
                <w:sz w:val="24"/>
                <w:szCs w:val="24"/>
              </w:rPr>
              <w:t>学生欺凌防控工作制度、犯罪记录封存制度、专门教育制度、法律援助制度</w:t>
            </w:r>
          </w:p>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宋体"/>
                <w:b w:val="0"/>
                <w:color w:val="000000"/>
                <w:kern w:val="0"/>
                <w:sz w:val="24"/>
                <w:szCs w:val="24"/>
                <w:lang w:val="en-US" w:eastAsia="zh-CN" w:bidi="ar"/>
              </w:rPr>
            </w:pPr>
          </w:p>
        </w:tc>
        <w:tc>
          <w:tcPr>
            <w:tcW w:w="480"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right="0"/>
              <w:jc w:val="center"/>
              <w:rPr>
                <w:rFonts w:hint="default" w:ascii="Times New Roman" w:hAnsi="Times New Roman" w:eastAsia="宋体"/>
                <w:b w:val="0"/>
                <w:sz w:val="24"/>
                <w:szCs w:val="24"/>
              </w:rPr>
            </w:pPr>
            <w:r>
              <w:rPr>
                <w:rFonts w:hint="default" w:ascii="Times New Roman" w:hAnsi="Times New Roman" w:eastAsia="宋体"/>
                <w:b w:val="0"/>
                <w:sz w:val="24"/>
                <w:szCs w:val="24"/>
              </w:rPr>
              <w:t>法律援助制度</w:t>
            </w:r>
          </w:p>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宋体"/>
                <w:b w:val="0"/>
                <w:color w:val="000000"/>
                <w:kern w:val="0"/>
                <w:sz w:val="24"/>
                <w:szCs w:val="24"/>
                <w:lang w:val="en-US" w:eastAsia="zh-CN" w:bidi="ar"/>
              </w:rPr>
            </w:pPr>
          </w:p>
        </w:tc>
        <w:tc>
          <w:tcPr>
            <w:tcW w:w="1782" w:type="pct"/>
            <w:gridSpan w:val="3"/>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宋体"/>
                <w:b w:val="0"/>
                <w:color w:val="000000"/>
                <w:kern w:val="0"/>
                <w:sz w:val="24"/>
                <w:szCs w:val="24"/>
                <w:lang w:val="en-US" w:eastAsia="zh-CN" w:bidi="ar"/>
              </w:rPr>
            </w:pPr>
            <w:r>
              <w:rPr>
                <w:rFonts w:hint="default" w:ascii="Times New Roman" w:hAnsi="Times New Roman" w:eastAsia="宋体"/>
                <w:b w:val="0"/>
                <w:sz w:val="24"/>
                <w:szCs w:val="24"/>
              </w:rPr>
              <w:t>除了法律援助制度外，其他制度的保护主体或适用对象仅仅是未成年人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F1F1F1" w:themeFill="background1" w:themeFillShade="F2"/>
            <w:noWrap/>
            <w:vAlign w:val="center"/>
          </w:tcPr>
          <w:p>
            <w:pPr>
              <w:keepNext w:val="0"/>
              <w:keepLines w:val="0"/>
              <w:numPr>
                <w:ilvl w:val="0"/>
                <w:numId w:val="1"/>
              </w:numPr>
              <w:suppressLineNumbers w:val="0"/>
              <w:spacing w:before="0" w:beforeLines="0" w:beforeAutospacing="0" w:after="0" w:afterLines="0" w:afterAutospacing="0" w:line="240" w:lineRule="auto"/>
              <w:ind w:left="425" w:leftChars="0" w:right="0" w:hanging="425" w:firstLineChars="0"/>
              <w:jc w:val="center"/>
              <w:rPr>
                <w:rFonts w:hint="eastAsia" w:ascii="Times New Roman" w:hAnsi="Times New Roman" w:eastAsia="宋体" w:cs="Times New Roman"/>
                <w:b w:val="0"/>
                <w:kern w:val="0"/>
                <w:sz w:val="24"/>
              </w:rPr>
            </w:pPr>
          </w:p>
        </w:tc>
        <w:tc>
          <w:tcPr>
            <w:tcW w:w="1388"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sz w:val="24"/>
                <w:szCs w:val="24"/>
              </w:rPr>
              <w:t>根据《预防未成年人犯罪法》的规定，选出对违法犯罪的未成年人所采取的工作方针</w:t>
            </w:r>
            <w:r>
              <w:rPr>
                <w:rFonts w:hint="eastAsia" w:ascii="Times New Roman" w:hAnsi="Times New Roman" w:eastAsia="宋体" w:cs="宋体"/>
                <w:b w:val="0"/>
                <w:color w:val="000000"/>
                <w:kern w:val="0"/>
                <w:sz w:val="24"/>
              </w:rPr>
              <w:t>不同性质或属于不同类别的一个词。</w:t>
            </w:r>
          </w:p>
        </w:tc>
        <w:tc>
          <w:tcPr>
            <w:tcW w:w="1109"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sz w:val="24"/>
                <w:szCs w:val="24"/>
              </w:rPr>
              <w:t>教育、感化、挽救、处罚</w:t>
            </w:r>
          </w:p>
        </w:tc>
        <w:tc>
          <w:tcPr>
            <w:tcW w:w="480"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right="0"/>
              <w:jc w:val="center"/>
              <w:rPr>
                <w:rFonts w:hint="default" w:ascii="Times New Roman" w:hAnsi="Times New Roman" w:eastAsia="宋体"/>
                <w:b w:val="0"/>
                <w:sz w:val="24"/>
                <w:szCs w:val="24"/>
              </w:rPr>
            </w:pPr>
            <w:r>
              <w:rPr>
                <w:rFonts w:hint="default" w:ascii="Times New Roman" w:hAnsi="Times New Roman" w:eastAsia="宋体"/>
                <w:b w:val="0"/>
                <w:sz w:val="24"/>
                <w:szCs w:val="24"/>
              </w:rPr>
              <w:t>处罚</w:t>
            </w:r>
          </w:p>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p>
        </w:tc>
        <w:tc>
          <w:tcPr>
            <w:tcW w:w="1782" w:type="pct"/>
            <w:gridSpan w:val="3"/>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right="0"/>
              <w:jc w:val="center"/>
              <w:rPr>
                <w:rFonts w:hint="default" w:ascii="Times New Roman" w:hAnsi="Times New Roman" w:eastAsia="宋体"/>
                <w:b w:val="0"/>
                <w:sz w:val="24"/>
                <w:szCs w:val="24"/>
              </w:rPr>
            </w:pPr>
            <w:r>
              <w:rPr>
                <w:rFonts w:hint="default" w:ascii="Times New Roman" w:hAnsi="Times New Roman" w:eastAsia="宋体"/>
                <w:b w:val="0"/>
                <w:sz w:val="24"/>
                <w:szCs w:val="24"/>
              </w:rPr>
              <w:t>教育、感化和挽救是对违法犯罪的未成年人所采取的工作方针</w:t>
            </w:r>
          </w:p>
          <w:p>
            <w:pPr>
              <w:pStyle w:val="9"/>
              <w:keepNext w:val="0"/>
              <w:keepLines w:val="0"/>
              <w:suppressLineNumbers w:val="0"/>
              <w:spacing w:before="0" w:beforeLines="0" w:beforeAutospacing="0" w:after="0" w:afterLines="0" w:afterAutospacing="0" w:line="240" w:lineRule="auto"/>
              <w:ind w:left="360" w:leftChars="0" w:right="0" w:rightChars="0" w:firstLine="0" w:firstLineChars="0"/>
              <w:jc w:val="both"/>
              <w:rPr>
                <w:rFonts w:hint="eastAsia" w:ascii="Times New Roman" w:hAnsi="Times New Roman" w:eastAsia="宋体" w:cs="Times New Roman"/>
                <w:b w:val="0"/>
                <w:kern w:val="0"/>
                <w:sz w:val="24"/>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F1F1F1" w:themeFill="background1" w:themeFillShade="F2"/>
            <w:noWrap/>
            <w:vAlign w:val="center"/>
          </w:tcPr>
          <w:p>
            <w:pPr>
              <w:keepNext w:val="0"/>
              <w:keepLines w:val="0"/>
              <w:numPr>
                <w:ilvl w:val="0"/>
                <w:numId w:val="1"/>
              </w:numPr>
              <w:suppressLineNumbers w:val="0"/>
              <w:spacing w:before="0" w:beforeLines="0" w:beforeAutospacing="0" w:after="0" w:afterLines="0" w:afterAutospacing="0" w:line="240" w:lineRule="auto"/>
              <w:ind w:left="425" w:leftChars="0" w:right="0" w:hanging="425" w:firstLineChars="0"/>
              <w:jc w:val="center"/>
              <w:rPr>
                <w:rFonts w:hint="eastAsia" w:ascii="Times New Roman" w:hAnsi="Times New Roman" w:eastAsia="宋体" w:cs="Times New Roman"/>
                <w:b w:val="0"/>
                <w:kern w:val="0"/>
                <w:sz w:val="24"/>
              </w:rPr>
            </w:pPr>
          </w:p>
        </w:tc>
        <w:tc>
          <w:tcPr>
            <w:tcW w:w="1388"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sz w:val="24"/>
                <w:szCs w:val="24"/>
              </w:rPr>
              <w:t>根据《中小学教育惩戒规则（试行）》，选出下列措施与其他措施性质不同的一项措施。</w:t>
            </w:r>
          </w:p>
        </w:tc>
        <w:tc>
          <w:tcPr>
            <w:tcW w:w="1109"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right="0"/>
              <w:jc w:val="center"/>
              <w:rPr>
                <w:rFonts w:hint="default" w:ascii="Times New Roman" w:hAnsi="Times New Roman" w:eastAsia="宋体"/>
                <w:b w:val="0"/>
                <w:sz w:val="24"/>
                <w:szCs w:val="24"/>
              </w:rPr>
            </w:pPr>
            <w:r>
              <w:rPr>
                <w:rFonts w:hint="default" w:ascii="Times New Roman" w:hAnsi="Times New Roman" w:eastAsia="宋体"/>
                <w:b w:val="0"/>
                <w:sz w:val="24"/>
                <w:szCs w:val="24"/>
              </w:rPr>
              <w:t>警告、记过、留校察看、书面检讨</w:t>
            </w:r>
          </w:p>
          <w:p>
            <w:pPr>
              <w:keepNext w:val="0"/>
              <w:keepLines w:val="0"/>
              <w:suppressLineNumbers w:val="0"/>
              <w:spacing w:before="0" w:beforeLines="0" w:beforeAutospacing="0" w:after="0" w:afterLines="0" w:afterAutospacing="0" w:line="240" w:lineRule="auto"/>
              <w:ind w:left="0" w:right="0"/>
              <w:jc w:val="center"/>
              <w:rPr>
                <w:rFonts w:hint="default" w:ascii="Times New Roman" w:hAnsi="Times New Roman" w:eastAsia="宋体"/>
                <w:b w:val="0"/>
                <w:sz w:val="24"/>
                <w:szCs w:val="24"/>
              </w:rPr>
            </w:pPr>
          </w:p>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p>
        </w:tc>
        <w:tc>
          <w:tcPr>
            <w:tcW w:w="480"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right="0"/>
              <w:jc w:val="center"/>
              <w:rPr>
                <w:rFonts w:hint="default" w:ascii="Times New Roman" w:hAnsi="Times New Roman" w:eastAsia="宋体"/>
                <w:b w:val="0"/>
                <w:sz w:val="24"/>
                <w:szCs w:val="24"/>
              </w:rPr>
            </w:pPr>
            <w:r>
              <w:rPr>
                <w:rFonts w:hint="default" w:ascii="Times New Roman" w:hAnsi="Times New Roman" w:eastAsia="宋体"/>
                <w:b w:val="0"/>
                <w:sz w:val="24"/>
                <w:szCs w:val="24"/>
              </w:rPr>
              <w:t>书面检讨</w:t>
            </w:r>
          </w:p>
          <w:p>
            <w:pPr>
              <w:pStyle w:val="9"/>
              <w:keepNext w:val="0"/>
              <w:keepLines w:val="0"/>
              <w:suppressLineNumbers w:val="0"/>
              <w:spacing w:before="0" w:beforeLines="0" w:beforeAutospacing="0" w:after="0" w:afterLines="0" w:afterAutospacing="0" w:line="240" w:lineRule="auto"/>
              <w:ind w:left="360" w:leftChars="0" w:right="0" w:rightChars="0" w:firstLine="0" w:firstLineChars="0"/>
              <w:jc w:val="center"/>
              <w:rPr>
                <w:rFonts w:hint="eastAsia" w:ascii="Times New Roman" w:hAnsi="Times New Roman" w:eastAsia="宋体" w:cs="Times New Roman"/>
                <w:b w:val="0"/>
                <w:kern w:val="0"/>
                <w:sz w:val="24"/>
                <w:szCs w:val="22"/>
                <w:lang w:val="en-US" w:eastAsia="zh-CN" w:bidi="ar-SA"/>
              </w:rPr>
            </w:pPr>
          </w:p>
        </w:tc>
        <w:tc>
          <w:tcPr>
            <w:tcW w:w="1782" w:type="pct"/>
            <w:gridSpan w:val="3"/>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right="0"/>
              <w:jc w:val="center"/>
              <w:rPr>
                <w:rFonts w:hint="default" w:ascii="Times New Roman" w:hAnsi="Times New Roman" w:eastAsia="宋体"/>
                <w:b w:val="0"/>
                <w:sz w:val="24"/>
                <w:szCs w:val="24"/>
              </w:rPr>
            </w:pPr>
            <w:r>
              <w:rPr>
                <w:rFonts w:hint="default" w:ascii="Times New Roman" w:hAnsi="Times New Roman" w:eastAsia="宋体"/>
                <w:b w:val="0"/>
                <w:sz w:val="24"/>
                <w:szCs w:val="24"/>
              </w:rPr>
              <w:t>只有书面检讨不是纪律处分，而是教育惩戒措施。</w:t>
            </w:r>
          </w:p>
          <w:p>
            <w:pPr>
              <w:pStyle w:val="9"/>
              <w:keepNext w:val="0"/>
              <w:keepLines w:val="0"/>
              <w:suppressLineNumbers w:val="0"/>
              <w:spacing w:before="0" w:beforeLines="0" w:beforeAutospacing="0" w:after="0" w:afterLines="0" w:afterAutospacing="0" w:line="240" w:lineRule="auto"/>
              <w:ind w:left="360" w:leftChars="0" w:right="0" w:rightChars="0" w:firstLine="0" w:firstLineChars="0"/>
              <w:jc w:val="center"/>
              <w:rPr>
                <w:rFonts w:hint="eastAsia" w:ascii="Times New Roman" w:hAnsi="Times New Roman" w:eastAsia="宋体" w:cs="Times New Roman"/>
                <w:b w:val="0"/>
                <w:kern w:val="0"/>
                <w:sz w:val="24"/>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F1F1F1" w:themeFill="background1" w:themeFillShade="F2"/>
            <w:noWrap/>
            <w:vAlign w:val="center"/>
          </w:tcPr>
          <w:p>
            <w:pPr>
              <w:keepNext w:val="0"/>
              <w:keepLines w:val="0"/>
              <w:numPr>
                <w:ilvl w:val="0"/>
                <w:numId w:val="1"/>
              </w:numPr>
              <w:suppressLineNumbers w:val="0"/>
              <w:spacing w:before="0" w:beforeLines="0" w:beforeAutospacing="0" w:after="0" w:afterLines="0" w:afterAutospacing="0" w:line="240" w:lineRule="auto"/>
              <w:ind w:left="425" w:leftChars="0" w:right="0" w:hanging="425" w:firstLineChars="0"/>
              <w:jc w:val="center"/>
              <w:rPr>
                <w:rFonts w:hint="eastAsia" w:ascii="Times New Roman" w:hAnsi="Times New Roman" w:eastAsia="宋体" w:cs="Times New Roman"/>
                <w:b w:val="0"/>
                <w:kern w:val="0"/>
                <w:sz w:val="24"/>
              </w:rPr>
            </w:pPr>
          </w:p>
        </w:tc>
        <w:tc>
          <w:tcPr>
            <w:tcW w:w="1388"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sz w:val="24"/>
                <w:szCs w:val="24"/>
              </w:rPr>
              <w:t>根据《中小学教育惩戒规则（试行）》，选出下列行为与其他行为性质不同的一项行为。</w:t>
            </w:r>
          </w:p>
        </w:tc>
        <w:tc>
          <w:tcPr>
            <w:tcW w:w="1109"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sz w:val="24"/>
                <w:szCs w:val="24"/>
              </w:rPr>
              <w:t>体罚、辱骂、刻意孤立、训导</w:t>
            </w:r>
          </w:p>
        </w:tc>
        <w:tc>
          <w:tcPr>
            <w:tcW w:w="480"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sz w:val="24"/>
                <w:szCs w:val="24"/>
              </w:rPr>
              <w:t>训导</w:t>
            </w:r>
          </w:p>
        </w:tc>
        <w:tc>
          <w:tcPr>
            <w:tcW w:w="1782" w:type="pct"/>
            <w:gridSpan w:val="3"/>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sz w:val="24"/>
                <w:szCs w:val="24"/>
              </w:rPr>
              <w:t>只有训导是学校依法可以实施的教育惩戒行为。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F1F1F1" w:themeFill="background1" w:themeFillShade="F2"/>
            <w:noWrap/>
            <w:vAlign w:val="center"/>
          </w:tcPr>
          <w:p>
            <w:pPr>
              <w:keepNext w:val="0"/>
              <w:keepLines w:val="0"/>
              <w:numPr>
                <w:ilvl w:val="0"/>
                <w:numId w:val="1"/>
              </w:numPr>
              <w:suppressLineNumbers w:val="0"/>
              <w:spacing w:before="0" w:beforeLines="0" w:beforeAutospacing="0" w:after="0" w:afterLines="0" w:afterAutospacing="0" w:line="240" w:lineRule="auto"/>
              <w:ind w:left="425" w:leftChars="0" w:right="0" w:hanging="425" w:firstLineChars="0"/>
              <w:jc w:val="center"/>
              <w:rPr>
                <w:rFonts w:hint="eastAsia" w:ascii="Times New Roman" w:hAnsi="Times New Roman" w:eastAsia="宋体" w:cs="Times New Roman"/>
                <w:b w:val="0"/>
                <w:kern w:val="0"/>
                <w:sz w:val="24"/>
              </w:rPr>
            </w:pPr>
          </w:p>
        </w:tc>
        <w:tc>
          <w:tcPr>
            <w:tcW w:w="1388"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color w:val="000000"/>
                <w:sz w:val="24"/>
                <w:szCs w:val="24"/>
              </w:rPr>
              <w:t>根据《未成年人保护法》的规定，选出下列制度中与其他制度不同性质的一种制度。</w:t>
            </w:r>
          </w:p>
        </w:tc>
        <w:tc>
          <w:tcPr>
            <w:tcW w:w="1109"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color w:val="000000"/>
                <w:sz w:val="24"/>
                <w:szCs w:val="24"/>
              </w:rPr>
              <w:t>欺凌防控制度、预防性侵害制度、预防性骚扰制度、学籍管理制度</w:t>
            </w:r>
          </w:p>
        </w:tc>
        <w:tc>
          <w:tcPr>
            <w:tcW w:w="480" w:type="pct"/>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color w:val="000000"/>
                <w:sz w:val="24"/>
                <w:szCs w:val="24"/>
              </w:rPr>
              <w:t>学籍管理制度</w:t>
            </w:r>
          </w:p>
        </w:tc>
        <w:tc>
          <w:tcPr>
            <w:tcW w:w="1782" w:type="pct"/>
            <w:gridSpan w:val="3"/>
            <w:shd w:val="clear" w:color="auto" w:fill="F1F1F1" w:themeFill="background1" w:themeFillShade="F2"/>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cs="Times New Roman"/>
                <w:b w:val="0"/>
                <w:kern w:val="0"/>
                <w:sz w:val="24"/>
                <w:szCs w:val="24"/>
                <w:lang w:val="en-US" w:eastAsia="zh-CN" w:bidi="ar-SA"/>
              </w:rPr>
            </w:pPr>
            <w:r>
              <w:rPr>
                <w:rFonts w:hint="default" w:ascii="Times New Roman" w:hAnsi="Times New Roman" w:eastAsia="宋体"/>
                <w:b w:val="0"/>
                <w:color w:val="000000"/>
                <w:sz w:val="24"/>
                <w:szCs w:val="24"/>
              </w:rPr>
              <w:t>学校应当落实法律规定建立学生欺凌防控和预防性侵害、性骚扰等专项制度，建立对学生欺凌、性侵害、性骚扰行为的零容忍处理机制和受伤害学生的关爱、帮扶机制。因此，除了学籍管理制度属于一般保护，其他是对未成年人的专项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9" w:type="pct"/>
            <w:shd w:val="clear" w:color="auto" w:fill="auto"/>
            <w:noWrap/>
            <w:vAlign w:val="center"/>
          </w:tcPr>
          <w:p>
            <w:pPr>
              <w:keepNext w:val="0"/>
              <w:keepLines w:val="0"/>
              <w:numPr>
                <w:ilvl w:val="0"/>
                <w:numId w:val="1"/>
              </w:numPr>
              <w:suppressLineNumbers w:val="0"/>
              <w:spacing w:before="0" w:beforeAutospacing="0" w:after="0" w:afterAutospacing="0" w:line="240" w:lineRule="auto"/>
              <w:ind w:left="425" w:leftChars="0" w:right="0" w:hanging="425" w:firstLineChars="0"/>
              <w:jc w:val="center"/>
              <w:rPr>
                <w:rFonts w:hint="eastAsia" w:ascii="Times New Roman" w:hAnsi="Times New Roman" w:eastAsia="宋体" w:cs="宋体"/>
                <w:b w:val="0"/>
                <w:kern w:val="0"/>
                <w:sz w:val="24"/>
              </w:rPr>
            </w:pPr>
          </w:p>
        </w:tc>
        <w:tc>
          <w:tcPr>
            <w:tcW w:w="1388" w:type="pct"/>
            <w:shd w:val="clear" w:color="auto" w:fill="auto"/>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b w:val="0"/>
                <w:sz w:val="24"/>
                <w:szCs w:val="24"/>
                <w:lang w:val="en-US" w:eastAsia="zh-CN"/>
              </w:rPr>
            </w:pPr>
            <w:r>
              <w:rPr>
                <w:rFonts w:hint="eastAsia" w:ascii="Times New Roman" w:hAnsi="Times New Roman" w:eastAsia="宋体"/>
                <w:b w:val="0"/>
                <w:sz w:val="24"/>
                <w:szCs w:val="24"/>
              </w:rPr>
              <w:t>以《中华人民共和国刑法》中的基本原则为依据，选出下列每组词中与其他词汇不同性质或属于不同类别的一个词。</w:t>
            </w:r>
          </w:p>
        </w:tc>
        <w:tc>
          <w:tcPr>
            <w:tcW w:w="1109" w:type="pct"/>
            <w:shd w:val="clear" w:color="auto" w:fill="auto"/>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b w:val="0"/>
                <w:sz w:val="24"/>
                <w:szCs w:val="24"/>
                <w:lang w:val="en-US" w:eastAsia="zh-CN"/>
              </w:rPr>
            </w:pPr>
            <w:r>
              <w:rPr>
                <w:rFonts w:hint="eastAsia" w:ascii="Times New Roman" w:hAnsi="Times New Roman" w:eastAsia="宋体"/>
                <w:b w:val="0"/>
                <w:sz w:val="24"/>
                <w:szCs w:val="24"/>
              </w:rPr>
              <w:t>罪刑法定原则、罪责刑相适应原则、法律面前人人平等原则、刑法适用平等原则</w:t>
            </w:r>
          </w:p>
        </w:tc>
        <w:tc>
          <w:tcPr>
            <w:tcW w:w="480" w:type="pct"/>
            <w:shd w:val="clear" w:color="auto" w:fill="auto"/>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b w:val="0"/>
                <w:sz w:val="24"/>
                <w:szCs w:val="24"/>
                <w:lang w:val="en-US" w:eastAsia="zh-CN"/>
              </w:rPr>
            </w:pPr>
            <w:r>
              <w:rPr>
                <w:rFonts w:hint="eastAsia" w:ascii="Times New Roman" w:hAnsi="Times New Roman" w:eastAsia="宋体"/>
                <w:b w:val="0"/>
                <w:sz w:val="24"/>
                <w:szCs w:val="24"/>
              </w:rPr>
              <w:t>法律面前人人平等原则</w:t>
            </w:r>
          </w:p>
        </w:tc>
        <w:tc>
          <w:tcPr>
            <w:tcW w:w="1782" w:type="pct"/>
            <w:gridSpan w:val="3"/>
            <w:shd w:val="clear" w:color="auto" w:fill="auto"/>
            <w:noWrap/>
            <w:vAlign w:val="center"/>
          </w:tcPr>
          <w:p>
            <w:pPr>
              <w:keepNext w:val="0"/>
              <w:keepLines w:val="0"/>
              <w:suppressLineNumbers w:val="0"/>
              <w:spacing w:before="0" w:beforeLines="0" w:beforeAutospacing="0" w:after="0" w:afterLines="0" w:afterAutospacing="0" w:line="240" w:lineRule="auto"/>
              <w:ind w:left="0" w:leftChars="0" w:right="0" w:rightChars="0"/>
              <w:jc w:val="center"/>
              <w:rPr>
                <w:rFonts w:hint="eastAsia" w:ascii="Times New Roman" w:hAnsi="Times New Roman" w:eastAsia="宋体"/>
                <w:b w:val="0"/>
                <w:sz w:val="24"/>
                <w:szCs w:val="24"/>
                <w:lang w:val="en-US" w:eastAsia="zh-CN"/>
              </w:rPr>
            </w:pPr>
            <w:r>
              <w:rPr>
                <w:rFonts w:hint="eastAsia" w:ascii="Times New Roman" w:hAnsi="Times New Roman" w:eastAsia="宋体"/>
                <w:b w:val="0"/>
                <w:sz w:val="24"/>
                <w:szCs w:val="24"/>
              </w:rPr>
              <w:t>罪刑法定原则、罪责刑相适应原则、刑法适用平等原则都是刑法的基本原则，而法律面前人人平等原则是宪法的原则。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25.</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根据我国省级行政区划，选出选出下列词语中与其他词汇不同性质或属于不同类别的一个词。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天津市、上海市、重庆市、北京市、长沙市</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长沙市</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天津市、上海市、重庆市、北京市是我国四个直辖市，而长沙市是湖南省省会城市。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26.</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根据宪法有关行政区划的规定，选出下列词语中与其他词汇不同性质或属于不同类别的一个词。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自治州、省、自治区、直辖市</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自治州</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省、自治区、直辖市是全国行政区划的划分；省、自治区分为自治州、县、自治县、乡。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27.</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根据宪法有关公民监督权的规定，选出下列词语中与其他词汇不同性质或属于不同类别的一个词。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申诉、上诉、控告、检举</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上诉</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申诉、控告、检举是宪法赋予公民的基本监督权，上诉属于诉讼权利。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28.</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结合习近平法治思想，选出下列词语中与其他词汇不同性质或属于不同类别的一个词。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执政权、立法权、行政权、司法权</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执政权</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执政权是党行使的权力，其他三项是国家机构行使的权力。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29.</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根据宪法有关民族自治地方的规定，选出下列词语中与其他词汇不同性质或属于不同类别的一个词。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内蒙古、西藏、宁夏、新疆、湘西</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湘西</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内蒙古、西藏、宁夏、新疆都是自治区，湘西是自治州。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30.</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根据宪法有关宪法宣誓的规定，选出下列词语中与其他词汇不同性质或属于不同类别的一个词。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最高人民法院院长、中国人民银行行长、教育部部长、湖南省省长、中学校长</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中学校长</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国家工作人员就职时应当依照法律规定公开进行宪法宣誓，中学学校长不是国家工作人员，不用进行宪法宣誓。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31.</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根据人民法院的设置，选出下列词语中与其他词汇不同性质或属于不同类别的一个词。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军事法院、海事法院、知识产权法院、专门人民法院</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专门人民法院</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专门人民法院包括军事法院和海事法院、知识产权法院等。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32.</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根据宪法有关国家保护的规定，选出下列词语中与其他词汇不同性质或属于不同类别的一个词。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婚姻、家庭、母亲、父亲、儿童</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父亲</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婚姻、家庭、母亲和儿童受国家的保护，不包括父亲。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33.</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结合习近平法治思想，选出下列词语中与其他词汇不同性质或属于不同类别的一个词。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市民公约、乡规民约、行业规章、团体规章、社会规范</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社会规范</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社会规范体系包括市民公约、乡规民约、行业规章、团体规章。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34.</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结合习近平法治思想，选出下列词语中与其他词汇不同性质或属于不同类别的一个词。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立法、起草、论证、审议、表决</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立法</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起草、论证、审议、表决是立法的环节。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35.</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结合习近平法治思想，选出下列词语中与其他词汇不同性质或属于不同类别的一个词。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严格、规范、公正、文明、执法</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执法</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严格、规范、公正、文明是执法的要求。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36.</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结合习近平法治思想，选出下列词语中与其他词汇不同性质或属于不同类别的一个词。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职能科学、权责法定、执法严明、廉洁高效、公平正义</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公平正义</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职能科学、权责法定、执法严明、廉洁高效是建设法治政府的目标。公平正义是司法的灵魂。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37.</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根据宪法有关国防和武装力量的规定，选出下列词语中与其他词汇不同性质或属于不同类别的一个词。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巩固国防</w:t>
            </w:r>
            <w:r>
              <w:rPr>
                <w:rFonts w:hint="default" w:ascii="Times New Roman" w:hAnsi="Times New Roman" w:eastAsia="宋体" w:cs="宋体"/>
                <w:sz w:val="24"/>
                <w:szCs w:val="24"/>
              </w:rPr>
              <w:t>、</w:t>
            </w:r>
            <w:r>
              <w:rPr>
                <w:rFonts w:hint="eastAsia" w:ascii="Times New Roman" w:hAnsi="Times New Roman" w:eastAsia="宋体" w:cs="宋体"/>
                <w:sz w:val="24"/>
                <w:szCs w:val="24"/>
              </w:rPr>
              <w:t>抵抗侵略</w:t>
            </w:r>
            <w:r>
              <w:rPr>
                <w:rFonts w:hint="default" w:ascii="Times New Roman" w:hAnsi="Times New Roman" w:eastAsia="宋体" w:cs="宋体"/>
                <w:sz w:val="24"/>
                <w:szCs w:val="24"/>
              </w:rPr>
              <w:t>、</w:t>
            </w:r>
            <w:r>
              <w:rPr>
                <w:rFonts w:hint="eastAsia" w:ascii="Times New Roman" w:hAnsi="Times New Roman" w:eastAsia="宋体" w:cs="宋体"/>
                <w:sz w:val="24"/>
                <w:szCs w:val="24"/>
              </w:rPr>
              <w:t>保卫祖国</w:t>
            </w:r>
            <w:r>
              <w:rPr>
                <w:rFonts w:hint="default" w:ascii="Times New Roman" w:hAnsi="Times New Roman" w:eastAsia="宋体" w:cs="宋体"/>
                <w:sz w:val="24"/>
                <w:szCs w:val="24"/>
              </w:rPr>
              <w:t>、</w:t>
            </w:r>
            <w:r>
              <w:rPr>
                <w:rFonts w:hint="eastAsia" w:ascii="Times New Roman" w:hAnsi="Times New Roman" w:eastAsia="宋体" w:cs="宋体"/>
                <w:sz w:val="24"/>
                <w:szCs w:val="24"/>
              </w:rPr>
              <w:t>保护环境</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保护环境</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中华人民共和国的武装力量属于人民</w:t>
            </w:r>
            <w:r>
              <w:rPr>
                <w:rFonts w:hint="default" w:ascii="Times New Roman" w:hAnsi="Times New Roman" w:eastAsia="宋体" w:cs="宋体"/>
                <w:sz w:val="24"/>
                <w:szCs w:val="24"/>
              </w:rPr>
              <w:t>。</w:t>
            </w:r>
            <w:r>
              <w:rPr>
                <w:rFonts w:hint="eastAsia" w:ascii="Times New Roman" w:hAnsi="Times New Roman" w:eastAsia="宋体" w:cs="宋体"/>
                <w:sz w:val="24"/>
                <w:szCs w:val="24"/>
              </w:rPr>
              <w:t>它的任务是巩固国防，抵抗侵略，保卫祖国</w:t>
            </w:r>
            <w:r>
              <w:rPr>
                <w:rFonts w:hint="default" w:ascii="Times New Roman" w:hAnsi="Times New Roman" w:eastAsia="宋体" w:cs="宋体"/>
                <w:sz w:val="24"/>
                <w:szCs w:val="24"/>
              </w:rPr>
              <w:t>，</w:t>
            </w:r>
            <w:r>
              <w:rPr>
                <w:rFonts w:hint="eastAsia" w:ascii="Times New Roman" w:hAnsi="Times New Roman" w:eastAsia="宋体" w:cs="宋体"/>
                <w:sz w:val="24"/>
                <w:szCs w:val="24"/>
              </w:rPr>
              <w:t>保卫人民的和平劳动</w:t>
            </w:r>
            <w:r>
              <w:rPr>
                <w:rFonts w:hint="default" w:ascii="Times New Roman" w:hAnsi="Times New Roman" w:eastAsia="宋体" w:cs="宋体"/>
                <w:sz w:val="24"/>
                <w:szCs w:val="24"/>
              </w:rPr>
              <w:t>，</w:t>
            </w:r>
            <w:r>
              <w:rPr>
                <w:rFonts w:hint="eastAsia" w:ascii="Times New Roman" w:hAnsi="Times New Roman" w:eastAsia="宋体" w:cs="宋体"/>
                <w:sz w:val="24"/>
                <w:szCs w:val="24"/>
              </w:rPr>
              <w:t>参加国家建设事业</w:t>
            </w:r>
            <w:r>
              <w:rPr>
                <w:rFonts w:hint="default" w:ascii="Times New Roman" w:hAnsi="Times New Roman" w:eastAsia="宋体" w:cs="宋体"/>
                <w:sz w:val="24"/>
                <w:szCs w:val="24"/>
              </w:rPr>
              <w:t>，</w:t>
            </w:r>
            <w:r>
              <w:rPr>
                <w:rFonts w:hint="eastAsia" w:ascii="Times New Roman" w:hAnsi="Times New Roman" w:eastAsia="宋体" w:cs="宋体"/>
                <w:sz w:val="24"/>
                <w:szCs w:val="24"/>
              </w:rPr>
              <w:t>努力为人民服务</w:t>
            </w:r>
            <w:r>
              <w:rPr>
                <w:rFonts w:hint="default" w:ascii="Times New Roman" w:hAnsi="Times New Roman" w:eastAsia="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38.</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结合社会主义核心价值观，选出下列词语中与其他词汇不同性质或属于不同类别的一个词。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爱国、敬业、诚信、友善、公正</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公正</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爱国、敬业、诚信、友善是个人层面的要求，公正是社会层面。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noWrap/>
            <w:vAlign w:val="center"/>
          </w:tcPr>
          <w:p>
            <w:pPr>
              <w:keepNext w:val="0"/>
              <w:keepLines w:val="0"/>
              <w:pageBreakBefore w:val="0"/>
              <w:widowControl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39.</w:t>
            </w:r>
          </w:p>
        </w:tc>
        <w:tc>
          <w:tcPr>
            <w:tcW w:w="1388"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结合习近平新时代中国特色社会主义思想，选出下列词语中与其他词汇不同性质或属于不同类别的一个词。</w:t>
            </w:r>
          </w:p>
        </w:tc>
        <w:tc>
          <w:tcPr>
            <w:tcW w:w="1109"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工会、共青</w:t>
            </w:r>
            <w:bookmarkStart w:id="0" w:name="_GoBack"/>
            <w:bookmarkEnd w:id="0"/>
            <w:r>
              <w:rPr>
                <w:rFonts w:hint="eastAsia" w:ascii="Times New Roman" w:hAnsi="Times New Roman" w:eastAsia="宋体" w:cs="宋体"/>
                <w:sz w:val="24"/>
                <w:szCs w:val="24"/>
              </w:rPr>
              <w:t>团、妇联、群团组织</w:t>
            </w:r>
          </w:p>
        </w:tc>
        <w:tc>
          <w:tcPr>
            <w:tcW w:w="480" w:type="pct"/>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群团组织</w:t>
            </w:r>
          </w:p>
        </w:tc>
        <w:tc>
          <w:tcPr>
            <w:tcW w:w="1782" w:type="pct"/>
            <w:gridSpan w:val="3"/>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群团组织包括工会、共青团、妇联。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shd w:val="clear" w:color="auto" w:fill="D8D8D8" w:themeFill="background1" w:themeFillShade="D9"/>
            <w:noWrap/>
            <w:vAlign w:val="center"/>
          </w:tcPr>
          <w:p>
            <w:pPr>
              <w:keepNext w:val="0"/>
              <w:keepLines w:val="0"/>
              <w:pageBreakBefore w:val="0"/>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rPr>
                <w:rFonts w:hint="default" w:ascii="Times New Roman" w:hAnsi="Times New Roman" w:eastAsia="宋体" w:cs="宋体"/>
                <w:b w:val="0"/>
                <w:color w:val="000000" w:themeColor="text1"/>
                <w:kern w:val="0"/>
                <w:sz w:val="24"/>
                <w:szCs w:val="24"/>
                <w:lang w:val="en-US" w:eastAsia="zh-CN"/>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14:textFill>
                  <w14:solidFill>
                    <w14:schemeClr w14:val="tx1"/>
                  </w14:solidFill>
                </w14:textFill>
              </w:rPr>
              <w:t>40.</w:t>
            </w: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以民法典为依据，结合物权请求权相关内容，选出下列每组词语中与其他词汇不同性质或属于不同类别的一个词。</w:t>
            </w:r>
          </w:p>
        </w:tc>
        <w:tc>
          <w:tcPr>
            <w:tcW w:w="1109" w:type="pct"/>
            <w:shd w:val="clear" w:color="auto" w:fill="D8D8D8" w:themeFill="background1" w:themeFillShade="D9"/>
            <w:noWrap/>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right="0"/>
              <w:jc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占有返还请求权、排除妨害请求权、不当得利返还请求权</w:t>
            </w: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Times New Roman"/>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不当得利返请求权</w:t>
            </w: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只有不当得利</w:t>
            </w:r>
            <w:r>
              <w:rPr>
                <w:rFonts w:hint="eastAsia" w:ascii="Times New Roman" w:hAnsi="Times New Roman" w:eastAsia="宋体" w:cs="宋体"/>
                <w:color w:val="000000" w:themeColor="text1"/>
                <w:kern w:val="0"/>
                <w:sz w:val="24"/>
                <w:szCs w:val="24"/>
                <w:lang w:val="en-US" w:eastAsia="zh-CN"/>
                <w14:textFill>
                  <w14:solidFill>
                    <w14:schemeClr w14:val="tx1"/>
                  </w14:solidFill>
                </w14:textFill>
              </w:rPr>
              <w:t>返还</w:t>
            </w:r>
            <w:r>
              <w:rPr>
                <w:rFonts w:hint="eastAsia" w:ascii="Times New Roman" w:hAnsi="Times New Roman" w:eastAsia="宋体" w:cs="宋体"/>
                <w:color w:val="000000" w:themeColor="text1"/>
                <w:kern w:val="0"/>
                <w:sz w:val="24"/>
                <w:szCs w:val="24"/>
                <w14:textFill>
                  <w14:solidFill>
                    <w14:schemeClr w14:val="tx1"/>
                  </w14:solidFill>
                </w14:textFill>
              </w:rPr>
              <w:t>请求权不属于物权请求权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shd w:val="clear" w:color="auto" w:fill="D8D8D8" w:themeFill="background1" w:themeFillShade="D9"/>
            <w:noWrap/>
            <w:vAlign w:val="center"/>
          </w:tcPr>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textAlignment w:val="center"/>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41.</w:t>
            </w: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以民法典物权编为依据，选出下列每组词语中与其他词汇不同性质或属于不同类别的一个词。</w:t>
            </w: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抵押权、质权、建筑物区分所有权、留置权、</w:t>
            </w: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建筑物区分所有权</w:t>
            </w: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建筑物区分所有权属于所有权，其余属于担保物权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shd w:val="clear" w:color="auto" w:fill="D8D8D8" w:themeFill="background1" w:themeFillShade="D9"/>
            <w:noWrap/>
            <w:vAlign w:val="center"/>
          </w:tcPr>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textAlignment w:val="center"/>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42.</w:t>
            </w: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以民法典关于法人的内容为依据，选出下列每组词语中与其他词汇不同性质或属于不同类别的一个词。</w:t>
            </w: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母公司、子公司、分公司、合伙企业</w:t>
            </w: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分公司</w:t>
            </w: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其他三者都是法人，分公司不是法人。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shd w:val="clear" w:color="auto" w:fill="D8D8D8" w:themeFill="background1" w:themeFillShade="D9"/>
            <w:noWrap/>
            <w:vAlign w:val="center"/>
          </w:tcPr>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textAlignment w:val="center"/>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43.</w:t>
            </w: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以</w:t>
            </w:r>
            <w:r>
              <w:rPr>
                <w:rFonts w:hint="eastAsia" w:ascii="Times New Roman" w:hAnsi="Times New Roman" w:eastAsia="宋体" w:cs="宋体"/>
                <w:color w:val="000000" w:themeColor="text1"/>
                <w:kern w:val="0"/>
                <w:sz w:val="24"/>
                <w:szCs w:val="24"/>
                <w:lang w:eastAsia="zh-CN"/>
                <w14:textFill>
                  <w14:solidFill>
                    <w14:schemeClr w14:val="tx1"/>
                  </w14:solidFill>
                </w14:textFill>
              </w:rPr>
              <w:t>《</w:t>
            </w:r>
            <w:r>
              <w:rPr>
                <w:rFonts w:hint="eastAsia" w:ascii="Times New Roman" w:hAnsi="Times New Roman" w:eastAsia="宋体" w:cs="宋体"/>
                <w:color w:val="000000" w:themeColor="text1"/>
                <w:kern w:val="0"/>
                <w:sz w:val="24"/>
                <w:szCs w:val="24"/>
                <w:lang w:val="en-US" w:eastAsia="zh-CN"/>
                <w14:textFill>
                  <w14:solidFill>
                    <w14:schemeClr w14:val="tx1"/>
                  </w14:solidFill>
                </w14:textFill>
              </w:rPr>
              <w:t>民法典</w:t>
            </w:r>
            <w:r>
              <w:rPr>
                <w:rFonts w:hint="eastAsia" w:ascii="Times New Roman" w:hAnsi="Times New Roman" w:eastAsia="宋体" w:cs="宋体"/>
                <w:color w:val="000000" w:themeColor="text1"/>
                <w:kern w:val="0"/>
                <w:sz w:val="24"/>
                <w:szCs w:val="24"/>
                <w:lang w:eastAsia="zh-CN"/>
                <w14:textFill>
                  <w14:solidFill>
                    <w14:schemeClr w14:val="tx1"/>
                  </w14:solidFill>
                </w14:textFill>
              </w:rPr>
              <w:t>》</w:t>
            </w:r>
            <w:r>
              <w:rPr>
                <w:rFonts w:hint="eastAsia" w:ascii="Times New Roman" w:hAnsi="Times New Roman" w:eastAsia="宋体" w:cs="宋体"/>
                <w:color w:val="000000" w:themeColor="text1"/>
                <w:kern w:val="0"/>
                <w:sz w:val="24"/>
                <w:szCs w:val="24"/>
                <w14:textFill>
                  <w14:solidFill>
                    <w14:schemeClr w14:val="tx1"/>
                  </w14:solidFill>
                </w14:textFill>
              </w:rPr>
              <w:t>人格权知识为依据，选出下列每组词语中与其他词汇不同性质或属于不同类别的一个词。</w:t>
            </w: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身体权、健康权、肖像权、监护权</w:t>
            </w: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监护权</w:t>
            </w: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有且仅有监护权是监护人基于其身份对限制民事行为能力人享有的身份权，其他三者是人格权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shd w:val="clear" w:color="auto" w:fill="D8D8D8" w:themeFill="background1" w:themeFillShade="D9"/>
            <w:noWrap/>
            <w:vAlign w:val="center"/>
          </w:tcPr>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textAlignment w:val="center"/>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44.</w:t>
            </w: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以民法典为依据，基于对用益物权和所有权权能的认识，选出下列每组词语中与其他词汇不同性质或属于不同类别的一个词。</w:t>
            </w: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占有、使用、收益、处分</w:t>
            </w: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处分</w:t>
            </w: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仅有处分属于所有权的权能，不是用益物权的权能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shd w:val="clear" w:color="auto" w:fill="D8D8D8" w:themeFill="background1" w:themeFillShade="D9"/>
            <w:noWrap/>
            <w:vAlign w:val="center"/>
          </w:tcPr>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textAlignment w:val="center"/>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45.</w:t>
            </w: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以民法典为依据，选出下列每组词语中与其他词汇不同性质或属于不同类别的一个词。</w:t>
            </w: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宣告失踪、宣告死亡、自然死亡</w:t>
            </w: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自然死亡</w:t>
            </w: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宣告失踪和宣告死亡都属于法律上的通过法院的判决来确定其是否死亡的依据，而自然死亡属于自然现象，与法律无关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shd w:val="clear" w:color="auto" w:fill="D8D8D8" w:themeFill="background1" w:themeFillShade="D9"/>
            <w:noWrap/>
            <w:vAlign w:val="center"/>
          </w:tcPr>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textAlignment w:val="center"/>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46.</w:t>
            </w:r>
          </w:p>
        </w:tc>
        <w:tc>
          <w:tcPr>
            <w:tcW w:w="1388"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结合担保方式的相关内容，选出下列每组词语中与其他词汇不同性质或属于不同类别的一个词。</w:t>
            </w:r>
          </w:p>
        </w:tc>
        <w:tc>
          <w:tcPr>
            <w:tcW w:w="1109"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保证、抵押、质押、留置、租赁</w:t>
            </w:r>
          </w:p>
        </w:tc>
        <w:tc>
          <w:tcPr>
            <w:tcW w:w="480" w:type="pct"/>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租赁</w:t>
            </w:r>
          </w:p>
        </w:tc>
        <w:tc>
          <w:tcPr>
            <w:tcW w:w="1782" w:type="pct"/>
            <w:gridSpan w:val="3"/>
            <w:shd w:val="clear" w:color="auto" w:fill="D8D8D8" w:themeFill="background1" w:themeFillShade="D9"/>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right="0"/>
              <w:jc w:val="center"/>
              <w:textAlignment w:val="center"/>
              <w:rPr>
                <w:rFonts w:hint="eastAsia"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14:textFill>
                  <w14:solidFill>
                    <w14:schemeClr w14:val="tx1"/>
                  </w14:solidFill>
                </w14:textFill>
              </w:rPr>
              <w:t>保证、抵押、质押、留置都是担保的方式，租赁不是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shd w:val="clear" w:color="auto" w:fill="F1F1F1" w:themeFill="background1" w:themeFillShade="F2"/>
            <w:noWrap/>
            <w:vAlign w:val="center"/>
          </w:tcPr>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textAlignment w:val="bottom"/>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47.</w:t>
            </w:r>
          </w:p>
        </w:tc>
        <w:tc>
          <w:tcPr>
            <w:tcW w:w="1388" w:type="pct"/>
            <w:shd w:val="clear" w:color="auto" w:fill="F1F1F1" w:themeFill="background1" w:themeFillShade="F2"/>
            <w:noWrap/>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0"/>
                <w:sz w:val="24"/>
                <w:lang w:bidi="ar"/>
                <w14:textFill>
                  <w14:solidFill>
                    <w14:schemeClr w14:val="tx1"/>
                  </w14:solidFill>
                </w14:textFill>
              </w:rPr>
              <w:t>根据《预防未成年人犯罪法》，选出下列行为中与其他行为性质不同的一种行为。</w:t>
            </w:r>
          </w:p>
        </w:tc>
        <w:tc>
          <w:tcPr>
            <w:tcW w:w="1109" w:type="pct"/>
            <w:shd w:val="clear" w:color="auto" w:fill="F1F1F1" w:themeFill="background1" w:themeFillShade="F2"/>
            <w:noWrap/>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0"/>
                <w:sz w:val="24"/>
                <w:lang w:bidi="ar"/>
                <w14:textFill>
                  <w14:solidFill>
                    <w14:schemeClr w14:val="tx1"/>
                  </w14:solidFill>
                </w14:textFill>
              </w:rPr>
              <w:t>结伙斗殴、故意伤害、抢夺财物、沉迷网络</w:t>
            </w:r>
          </w:p>
        </w:tc>
        <w:tc>
          <w:tcPr>
            <w:tcW w:w="480" w:type="pct"/>
            <w:shd w:val="clear" w:color="auto" w:fill="F1F1F1" w:themeFill="background1" w:themeFillShade="F2"/>
            <w:noWrap/>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0"/>
                <w:sz w:val="24"/>
                <w:lang w:bidi="ar"/>
                <w14:textFill>
                  <w14:solidFill>
                    <w14:schemeClr w14:val="tx1"/>
                  </w14:solidFill>
                </w14:textFill>
              </w:rPr>
              <w:t>沉迷网络</w:t>
            </w:r>
          </w:p>
        </w:tc>
        <w:tc>
          <w:tcPr>
            <w:tcW w:w="1782" w:type="pct"/>
            <w:gridSpan w:val="3"/>
            <w:shd w:val="clear" w:color="auto" w:fill="F1F1F1" w:themeFill="background1" w:themeFillShade="F2"/>
            <w:noWrap/>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0"/>
                <w:sz w:val="24"/>
                <w:lang w:bidi="ar"/>
                <w14:textFill>
                  <w14:solidFill>
                    <w14:schemeClr w14:val="tx1"/>
                  </w14:solidFill>
                </w14:textFill>
              </w:rPr>
              <w:t>只有沉迷网络不属于严重不良行为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239" w:type="pct"/>
            <w:shd w:val="clear" w:color="auto" w:fill="F1F1F1" w:themeFill="background1" w:themeFillShade="F2"/>
            <w:noWrap/>
            <w:vAlign w:val="center"/>
          </w:tcPr>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ind w:left="0" w:leftChars="0" w:right="0" w:rightChars="0"/>
              <w:jc w:val="both"/>
              <w:textAlignment w:val="bottom"/>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48.</w:t>
            </w:r>
          </w:p>
        </w:tc>
        <w:tc>
          <w:tcPr>
            <w:tcW w:w="1388" w:type="pct"/>
            <w:shd w:val="clear" w:color="auto" w:fill="F1F1F1" w:themeFill="background1" w:themeFillShade="F2"/>
            <w:noWrap/>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0"/>
                <w:sz w:val="24"/>
                <w:lang w:bidi="ar"/>
                <w14:textFill>
                  <w14:solidFill>
                    <w14:schemeClr w14:val="tx1"/>
                  </w14:solidFill>
                </w14:textFill>
              </w:rPr>
              <w:t>根据《中小学教育惩戒规则（试行）》，选出下列词语中与其他词汇类型不同的一种措施。</w:t>
            </w:r>
          </w:p>
        </w:tc>
        <w:tc>
          <w:tcPr>
            <w:tcW w:w="1109" w:type="pct"/>
            <w:shd w:val="clear" w:color="auto" w:fill="F1F1F1" w:themeFill="background1" w:themeFillShade="F2"/>
            <w:noWrap/>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0"/>
                <w:sz w:val="24"/>
                <w:lang w:bidi="ar"/>
                <w14:textFill>
                  <w14:solidFill>
                    <w14:schemeClr w14:val="tx1"/>
                  </w14:solidFill>
                </w14:textFill>
              </w:rPr>
              <w:t>警告、留校察看、训诫、记过</w:t>
            </w:r>
          </w:p>
        </w:tc>
        <w:tc>
          <w:tcPr>
            <w:tcW w:w="480" w:type="pct"/>
            <w:shd w:val="clear" w:color="auto" w:fill="F1F1F1" w:themeFill="background1" w:themeFillShade="F2"/>
            <w:noWrap/>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0"/>
                <w:sz w:val="24"/>
                <w:lang w:bidi="ar"/>
                <w14:textFill>
                  <w14:solidFill>
                    <w14:schemeClr w14:val="tx1"/>
                  </w14:solidFill>
                </w14:textFill>
              </w:rPr>
              <w:t>训诫</w:t>
            </w:r>
          </w:p>
        </w:tc>
        <w:tc>
          <w:tcPr>
            <w:tcW w:w="1782" w:type="pct"/>
            <w:gridSpan w:val="3"/>
            <w:shd w:val="clear" w:color="auto" w:fill="F1F1F1" w:themeFill="background1" w:themeFillShade="F2"/>
            <w:noWrap/>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0"/>
                <w:sz w:val="24"/>
                <w:lang w:bidi="ar"/>
                <w14:textFill>
                  <w14:solidFill>
                    <w14:schemeClr w14:val="tx1"/>
                  </w14:solidFill>
                </w14:textFill>
              </w:rPr>
              <w:t>只有训诫不属于纪律处分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pct"/>
          <w:trHeight w:val="1208" w:hRule="atLeast"/>
        </w:trPr>
        <w:tc>
          <w:tcPr>
            <w:tcW w:w="1627" w:type="pct"/>
            <w:gridSpan w:val="2"/>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49.以《中华人民共和国宪法》为依据，选出下列每组词语中与其他词汇不同性质或属于不同类别的一个词。</w:t>
            </w:r>
          </w:p>
        </w:tc>
        <w:tc>
          <w:tcPr>
            <w:tcW w:w="1109" w:type="pct"/>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宅基地、矿藏、自留地、自留山</w:t>
            </w:r>
          </w:p>
        </w:tc>
        <w:tc>
          <w:tcPr>
            <w:tcW w:w="571" w:type="pct"/>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矿藏</w:t>
            </w:r>
          </w:p>
        </w:tc>
        <w:tc>
          <w:tcPr>
            <w:tcW w:w="166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宅基地、自留地、自留山属于绝对集体所有；矿藏属于绝对国有。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pct"/>
          <w:trHeight w:val="570" w:hRule="atLeast"/>
        </w:trPr>
        <w:tc>
          <w:tcPr>
            <w:tcW w:w="1627" w:type="pct"/>
            <w:gridSpan w:val="2"/>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50.依据党派属性知识，选出下列名人中与其他名人不同性质或属于不同类别的一个。</w:t>
            </w:r>
          </w:p>
        </w:tc>
        <w:tc>
          <w:tcPr>
            <w:tcW w:w="1109" w:type="pct"/>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李大钊、陈独秀、李达、鲁迅</w:t>
            </w:r>
          </w:p>
        </w:tc>
        <w:tc>
          <w:tcPr>
            <w:tcW w:w="571" w:type="pct"/>
            <w:gridSpan w:val="2"/>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鲁迅</w:t>
            </w:r>
          </w:p>
        </w:tc>
        <w:tc>
          <w:tcPr>
            <w:tcW w:w="166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hint="default" w:ascii="Times New Roman" w:hAnsi="Times New Roman" w:eastAsia="宋体" w:cs="宋体"/>
                <w:b w:val="0"/>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val="0"/>
                <w:color w:val="000000" w:themeColor="text1"/>
                <w:kern w:val="0"/>
                <w:sz w:val="24"/>
                <w:szCs w:val="24"/>
                <w:lang w:val="en-US" w:eastAsia="zh-CN" w:bidi="ar"/>
                <w14:textFill>
                  <w14:solidFill>
                    <w14:schemeClr w14:val="tx1"/>
                  </w14:solidFill>
                </w14:textFill>
              </w:rPr>
              <w:t>除了鲁迅，其它三人都是共产党人</w:t>
            </w:r>
          </w:p>
        </w:tc>
      </w:tr>
    </w:tbl>
    <w:p>
      <w:pPr>
        <w:rPr>
          <w:color w:val="000000" w:themeColor="text1"/>
          <w14:textFill>
            <w14:solidFill>
              <w14:schemeClr w14:val="tx1"/>
            </w14:solidFill>
          </w14:textFill>
        </w:rPr>
      </w:pPr>
    </w:p>
    <w:p>
      <w:pPr>
        <w:rPr>
          <w:color w:val="000000" w:themeColor="text1"/>
          <w14:textFill>
            <w14:solidFill>
              <w14:schemeClr w14:val="tx1"/>
            </w14:solidFill>
          </w14:textFill>
        </w:rPr>
      </w:pPr>
    </w:p>
    <w:sectPr>
      <w:pgSz w:w="16838" w:h="11906" w:orient="landscape"/>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B22C03"/>
    <w:multiLevelType w:val="singleLevel"/>
    <w:tmpl w:val="75B22C0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yMmM3YWZiZGRhYTkwZTU5YzQ2OGNkNTk2NTMwNzcifQ=="/>
  </w:docVars>
  <w:rsids>
    <w:rsidRoot w:val="00172A27"/>
    <w:rsid w:val="00027DAE"/>
    <w:rsid w:val="00072953"/>
    <w:rsid w:val="001B31BB"/>
    <w:rsid w:val="001E4FF8"/>
    <w:rsid w:val="00572245"/>
    <w:rsid w:val="007B3521"/>
    <w:rsid w:val="008D7C3C"/>
    <w:rsid w:val="009F3204"/>
    <w:rsid w:val="023634DF"/>
    <w:rsid w:val="02BC1A18"/>
    <w:rsid w:val="0BDD6837"/>
    <w:rsid w:val="102161A3"/>
    <w:rsid w:val="130D34AC"/>
    <w:rsid w:val="1B9B3F33"/>
    <w:rsid w:val="1E3D6278"/>
    <w:rsid w:val="1E844902"/>
    <w:rsid w:val="21481E14"/>
    <w:rsid w:val="21972269"/>
    <w:rsid w:val="23114F0E"/>
    <w:rsid w:val="265A3F61"/>
    <w:rsid w:val="266068B0"/>
    <w:rsid w:val="2772251C"/>
    <w:rsid w:val="2803256D"/>
    <w:rsid w:val="2991173D"/>
    <w:rsid w:val="2996679F"/>
    <w:rsid w:val="2EAE5248"/>
    <w:rsid w:val="32D02829"/>
    <w:rsid w:val="34C17632"/>
    <w:rsid w:val="36E84E45"/>
    <w:rsid w:val="38DC519B"/>
    <w:rsid w:val="3EFE34F3"/>
    <w:rsid w:val="3FCA4C9C"/>
    <w:rsid w:val="421266E7"/>
    <w:rsid w:val="442B11EC"/>
    <w:rsid w:val="4AF73108"/>
    <w:rsid w:val="4C0A7882"/>
    <w:rsid w:val="4CEA3A0F"/>
    <w:rsid w:val="517957EC"/>
    <w:rsid w:val="55F52CBF"/>
    <w:rsid w:val="5B21162A"/>
    <w:rsid w:val="5D55380D"/>
    <w:rsid w:val="609A0D14"/>
    <w:rsid w:val="639600C1"/>
    <w:rsid w:val="66110B79"/>
    <w:rsid w:val="69834819"/>
    <w:rsid w:val="6DDE33AA"/>
    <w:rsid w:val="71CB614A"/>
    <w:rsid w:val="72A526E9"/>
    <w:rsid w:val="74D92479"/>
    <w:rsid w:val="7CAB6D43"/>
    <w:rsid w:val="7CB023B6"/>
    <w:rsid w:val="7DDC6868"/>
    <w:rsid w:val="7ED12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unhideWhenUsed/>
    <w:qFormat/>
    <w:uiPriority w:val="34"/>
    <w:pPr>
      <w:spacing w:beforeLines="0" w:afterLines="0"/>
      <w:ind w:firstLine="420" w:firstLineChars="200"/>
    </w:pPr>
    <w:rPr>
      <w:rFonts w:hint="eastAsia"/>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4812</Words>
  <Characters>4864</Characters>
  <Lines>1</Lines>
  <Paragraphs>1</Paragraphs>
  <TotalTime>8</TotalTime>
  <ScaleCrop>false</ScaleCrop>
  <LinksUpToDate>false</LinksUpToDate>
  <CharactersWithSpaces>4864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2021-08-03T03:03:00Z</dcterms:created>
  <dc:creator>刘 欣琦</dc:creator>
  <cp:lastModifiedBy>文章</cp:lastModifiedBy>
  <dcterms:modified xsi:type="dcterms:W3CDTF">2025-09-09T14:46:56Z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2730D254A6E44A6A89056B70962AD411</vt:lpwstr>
  </property>
  <property fmtid="{D5CDD505-2E9C-101B-9397-08002B2CF9AE}" pid="4" name="KSOTemplateDocerSaveRecord">
    <vt:lpwstr>eyJoZGlkIjoiN2MwZjlkYWNkODk2ZjM4ZDA4N2ZhMTBhODI1YWE3MzQiLCJ1c2VySWQiOiIxMjQ4NjA4Njg3In0=</vt:lpwstr>
  </property>
</Properties>
</file>